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20" w:lineRule="exact"/>
        <w:jc w:val="center"/>
        <w:rPr>
          <w:rFonts w:hint="eastAsia" w:ascii="宋体" w:hAnsi="宋体" w:eastAsia="宋体" w:cs="宋体"/>
          <w:sz w:val="21"/>
          <w:szCs w:val="21"/>
        </w:rPr>
      </w:pPr>
      <w:r>
        <w:rPr>
          <w:rFonts w:hint="eastAsia" w:ascii="宋体" w:hAnsi="宋体" w:eastAsia="宋体" w:cs="宋体"/>
          <w:sz w:val="21"/>
          <w:szCs w:val="21"/>
        </w:rPr>
        <w:t>自我测试题</w:t>
      </w:r>
    </w:p>
    <w:p>
      <w:pPr>
        <w:pStyle w:val="12"/>
        <w:spacing w:line="360" w:lineRule="exact"/>
        <w:jc w:val="center"/>
        <w:rPr>
          <w:rFonts w:hint="eastAsia" w:ascii="宋体" w:hAnsi="宋体" w:eastAsia="宋体" w:cs="宋体"/>
          <w:sz w:val="21"/>
          <w:szCs w:val="21"/>
        </w:rPr>
      </w:pPr>
      <w:r>
        <w:rPr>
          <w:rFonts w:hint="eastAsia" w:ascii="宋体" w:hAnsi="宋体" w:eastAsia="宋体" w:cs="宋体"/>
          <w:sz w:val="21"/>
          <w:szCs w:val="21"/>
        </w:rPr>
        <w:t>一、单项选择题</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1、下列情形中，没有违背货币资金“不相容岗位相互分离”的控制原则的是(        )。</w:t>
      </w:r>
    </w:p>
    <w:p>
      <w:pPr>
        <w:ind w:firstLine="420" w:firstLineChars="200"/>
        <w:rPr>
          <w:rFonts w:hint="eastAsia" w:ascii="宋体" w:hAnsi="宋体" w:eastAsia="宋体" w:cs="宋体"/>
          <w:sz w:val="21"/>
          <w:szCs w:val="21"/>
        </w:rPr>
      </w:pPr>
      <w:bookmarkStart w:id="0" w:name="bookmark1567"/>
      <w:bookmarkEnd w:id="0"/>
      <w:r>
        <w:rPr>
          <w:rFonts w:hint="eastAsia" w:ascii="宋体" w:hAnsi="宋体" w:eastAsia="宋体" w:cs="宋体"/>
          <w:sz w:val="21"/>
          <w:szCs w:val="21"/>
        </w:rPr>
        <w:t>A.由出纳人员同时负责会计档案保管工作</w:t>
      </w:r>
    </w:p>
    <w:p>
      <w:pPr>
        <w:ind w:firstLine="420" w:firstLineChars="200"/>
        <w:rPr>
          <w:rFonts w:hint="eastAsia" w:ascii="宋体" w:hAnsi="宋体" w:eastAsia="宋体" w:cs="宋体"/>
          <w:sz w:val="21"/>
          <w:szCs w:val="21"/>
        </w:rPr>
      </w:pPr>
      <w:bookmarkStart w:id="1" w:name="bookmark1568"/>
      <w:bookmarkEnd w:id="1"/>
      <w:r>
        <w:rPr>
          <w:rFonts w:hint="eastAsia" w:ascii="宋体" w:hAnsi="宋体" w:eastAsia="宋体" w:cs="宋体"/>
          <w:sz w:val="21"/>
          <w:szCs w:val="21"/>
        </w:rPr>
        <w:t>B.由出纳人员同时负责债权债务的登记工作</w:t>
      </w:r>
    </w:p>
    <w:p>
      <w:pPr>
        <w:ind w:firstLine="420" w:firstLineChars="200"/>
        <w:rPr>
          <w:rFonts w:hint="eastAsia" w:ascii="宋体" w:hAnsi="宋体" w:eastAsia="宋体" w:cs="宋体"/>
          <w:sz w:val="21"/>
          <w:szCs w:val="21"/>
        </w:rPr>
      </w:pPr>
      <w:bookmarkStart w:id="2" w:name="bookmark1569"/>
      <w:bookmarkEnd w:id="2"/>
      <w:r>
        <w:rPr>
          <w:rFonts w:hint="eastAsia" w:ascii="宋体" w:hAnsi="宋体" w:eastAsia="宋体" w:cs="宋体"/>
          <w:sz w:val="21"/>
          <w:szCs w:val="21"/>
        </w:rPr>
        <w:t>C.由出纳人员同时负责收入总账和明细账的登记工作</w:t>
      </w:r>
    </w:p>
    <w:p>
      <w:pPr>
        <w:ind w:firstLine="420" w:firstLineChars="200"/>
        <w:rPr>
          <w:rFonts w:hint="eastAsia" w:ascii="宋体" w:hAnsi="宋体" w:eastAsia="宋体" w:cs="宋体"/>
          <w:sz w:val="21"/>
          <w:szCs w:val="21"/>
        </w:rPr>
      </w:pPr>
      <w:bookmarkStart w:id="3" w:name="bookmark1570"/>
      <w:bookmarkEnd w:id="3"/>
      <w:r>
        <w:rPr>
          <w:rFonts w:hint="eastAsia" w:ascii="宋体" w:hAnsi="宋体" w:eastAsia="宋体" w:cs="宋体"/>
          <w:sz w:val="21"/>
          <w:szCs w:val="21"/>
        </w:rPr>
        <w:t>D.由出纳人员同时负责固定资产明细账的登记工作</w:t>
      </w:r>
    </w:p>
    <w:p>
      <w:pPr>
        <w:widowControl/>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D</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【解析】出纳员的职责是担负现金收付、银行结算及货币资金的核算等，不得兼任稽核、会计档案保管和收入、支出、费用、债权债务账目的登记。选项ABC违背了不相容岗位相互分离原则</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bookmarkStart w:id="4" w:name="bookmark1571"/>
      <w:bookmarkEnd w:id="4"/>
      <w:r>
        <w:rPr>
          <w:rFonts w:hint="eastAsia" w:ascii="宋体" w:hAnsi="宋体" w:eastAsia="宋体" w:cs="宋体"/>
          <w:sz w:val="21"/>
          <w:szCs w:val="21"/>
        </w:rPr>
        <w:t>2.下列有关库存现金监盘的说法中，错误的是(        )。</w:t>
      </w:r>
    </w:p>
    <w:p>
      <w:pPr>
        <w:ind w:firstLine="420" w:firstLineChars="200"/>
        <w:rPr>
          <w:rFonts w:hint="eastAsia" w:ascii="宋体" w:hAnsi="宋体" w:eastAsia="宋体" w:cs="宋体"/>
          <w:sz w:val="21"/>
          <w:szCs w:val="21"/>
        </w:rPr>
      </w:pPr>
      <w:bookmarkStart w:id="5" w:name="bookmark1572"/>
      <w:bookmarkEnd w:id="5"/>
      <w:r>
        <w:rPr>
          <w:rFonts w:hint="eastAsia" w:ascii="宋体" w:hAnsi="宋体" w:eastAsia="宋体" w:cs="宋体"/>
          <w:sz w:val="21"/>
          <w:szCs w:val="21"/>
        </w:rPr>
        <w:t>A.对库存现金的监盘时间必须选择在上午上班前或下午下班时</w:t>
      </w:r>
    </w:p>
    <w:p>
      <w:pPr>
        <w:ind w:firstLine="420" w:firstLineChars="200"/>
        <w:rPr>
          <w:rFonts w:hint="eastAsia" w:ascii="宋体" w:hAnsi="宋体" w:eastAsia="宋体" w:cs="宋体"/>
          <w:sz w:val="21"/>
          <w:szCs w:val="21"/>
        </w:rPr>
      </w:pPr>
      <w:bookmarkStart w:id="6" w:name="bookmark1573"/>
      <w:bookmarkEnd w:id="6"/>
      <w:r>
        <w:rPr>
          <w:rFonts w:hint="eastAsia" w:ascii="宋体" w:hAnsi="宋体" w:eastAsia="宋体" w:cs="宋体"/>
          <w:sz w:val="21"/>
          <w:szCs w:val="21"/>
        </w:rPr>
        <w:t>B.由岀纳在盘点后编制"库存现金盘点表”</w:t>
      </w:r>
    </w:p>
    <w:p>
      <w:pPr>
        <w:ind w:firstLine="420" w:firstLineChars="200"/>
        <w:rPr>
          <w:rFonts w:hint="eastAsia" w:ascii="宋体" w:hAnsi="宋体" w:eastAsia="宋体" w:cs="宋体"/>
          <w:sz w:val="21"/>
          <w:szCs w:val="21"/>
        </w:rPr>
      </w:pPr>
      <w:bookmarkStart w:id="7" w:name="bookmark1574"/>
      <w:bookmarkEnd w:id="7"/>
      <w:r>
        <w:rPr>
          <w:rFonts w:hint="eastAsia" w:ascii="宋体" w:hAnsi="宋体" w:eastAsia="宋体" w:cs="宋体"/>
          <w:sz w:val="21"/>
          <w:szCs w:val="21"/>
        </w:rPr>
        <w:t>C.盘点库存现金人员应视被审计单位的具体情况而定，但必须有岀纳员和被审计单位的会计主管人员参加，并由注册会计师进行监盘</w:t>
      </w:r>
    </w:p>
    <w:p>
      <w:pPr>
        <w:ind w:firstLine="420" w:firstLineChars="200"/>
        <w:rPr>
          <w:rFonts w:hint="eastAsia" w:ascii="宋体" w:hAnsi="宋体" w:eastAsia="宋体" w:cs="宋体"/>
          <w:sz w:val="21"/>
          <w:szCs w:val="21"/>
        </w:rPr>
      </w:pPr>
      <w:bookmarkStart w:id="8" w:name="bookmark1575"/>
      <w:bookmarkEnd w:id="8"/>
      <w:r>
        <w:rPr>
          <w:rFonts w:hint="eastAsia" w:ascii="宋体" w:hAnsi="宋体" w:eastAsia="宋体" w:cs="宋体"/>
          <w:sz w:val="21"/>
          <w:szCs w:val="21"/>
        </w:rPr>
        <w:t>D.监盘库存现金是证实资产负债表中货币资金项目中现金是否存在的一项重要审计程序</w:t>
      </w:r>
    </w:p>
    <w:p>
      <w:pPr>
        <w:widowControl/>
        <w:ind w:firstLine="420" w:firstLineChars="200"/>
        <w:jc w:val="left"/>
        <w:rPr>
          <w:rFonts w:hint="eastAsia" w:ascii="宋体" w:hAnsi="宋体" w:eastAsia="宋体" w:cs="宋体"/>
          <w:sz w:val="21"/>
          <w:szCs w:val="21"/>
          <w:lang w:val="en-US" w:eastAsia="zh-CN"/>
        </w:rPr>
      </w:pPr>
      <w:bookmarkStart w:id="9" w:name="bookmark1576"/>
      <w:bookmarkEnd w:id="9"/>
      <w:r>
        <w:rPr>
          <w:rFonts w:hint="eastAsia" w:ascii="宋体" w:hAnsi="宋体" w:eastAsia="宋体" w:cs="宋体"/>
          <w:sz w:val="21"/>
          <w:szCs w:val="21"/>
        </w:rPr>
        <w:t>【答案】</w:t>
      </w:r>
      <w:r>
        <w:rPr>
          <w:rFonts w:hint="eastAsia" w:ascii="宋体" w:hAnsi="宋体" w:eastAsia="宋体" w:cs="宋体"/>
          <w:sz w:val="21"/>
          <w:szCs w:val="21"/>
          <w:lang w:val="en-US" w:eastAsia="zh-CN"/>
        </w:rPr>
        <w:t>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【解析】选项A,对库存现金的监盘时间最好选择在上午上班前或下午下班时，而不是必须。</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3.注册会计师在检査被审计单位2021年12月31日的银行存款余额调节表时，发现下列调节事项，其中有迹象表明调节事项的性质或范围不合理的是(        )。</w:t>
      </w:r>
    </w:p>
    <w:p>
      <w:pPr>
        <w:ind w:firstLine="420" w:firstLineChars="200"/>
        <w:rPr>
          <w:rFonts w:hint="eastAsia" w:ascii="宋体" w:hAnsi="宋体" w:eastAsia="宋体" w:cs="宋体"/>
          <w:sz w:val="21"/>
          <w:szCs w:val="21"/>
        </w:rPr>
      </w:pPr>
      <w:bookmarkStart w:id="10" w:name="bookmark1577"/>
      <w:bookmarkEnd w:id="10"/>
      <w:r>
        <w:rPr>
          <w:rFonts w:hint="eastAsia" w:ascii="宋体" w:hAnsi="宋体" w:eastAsia="宋体" w:cs="宋体"/>
          <w:sz w:val="21"/>
          <w:szCs w:val="21"/>
        </w:rPr>
        <w:t>A.“银行已收、企业未收”项目包含一项2021年12月31日到账的应收账款,被审计单位尚未收到银行的收款通知</w:t>
      </w:r>
    </w:p>
    <w:p>
      <w:pPr>
        <w:ind w:firstLine="420" w:firstLineChars="200"/>
        <w:rPr>
          <w:rFonts w:hint="eastAsia" w:ascii="宋体" w:hAnsi="宋体" w:eastAsia="宋体" w:cs="宋体"/>
          <w:sz w:val="21"/>
          <w:szCs w:val="21"/>
        </w:rPr>
      </w:pPr>
      <w:bookmarkStart w:id="11" w:name="bookmark1578"/>
      <w:bookmarkEnd w:id="11"/>
      <w:r>
        <w:rPr>
          <w:rFonts w:hint="eastAsia" w:ascii="宋体" w:hAnsi="宋体" w:eastAsia="宋体" w:cs="宋体"/>
          <w:sz w:val="21"/>
          <w:szCs w:val="21"/>
        </w:rPr>
        <w:t>B.“企业已付、银行未付”项目包含一项被审计单位于2021年12月31日提交的转账支付申请，用于支付被审计単位2021年12月份的电费</w:t>
      </w:r>
    </w:p>
    <w:p>
      <w:pPr>
        <w:ind w:firstLine="420" w:firstLineChars="200"/>
        <w:rPr>
          <w:rFonts w:hint="eastAsia" w:ascii="宋体" w:hAnsi="宋体" w:eastAsia="宋体" w:cs="宋体"/>
          <w:sz w:val="21"/>
          <w:szCs w:val="21"/>
        </w:rPr>
      </w:pPr>
      <w:bookmarkStart w:id="12" w:name="bookmark1579"/>
      <w:bookmarkEnd w:id="12"/>
      <w:r>
        <w:rPr>
          <w:rFonts w:hint="eastAsia" w:ascii="宋体" w:hAnsi="宋体" w:eastAsia="宋体" w:cs="宋体"/>
          <w:sz w:val="21"/>
          <w:szCs w:val="21"/>
        </w:rPr>
        <w:t>C.“企业已收、银行未收”项目包含一项2021年12月30日收到的退货款，被审计单位已将供应商提供的支票提交银行</w:t>
      </w:r>
    </w:p>
    <w:p>
      <w:pPr>
        <w:ind w:firstLine="420" w:firstLineChars="200"/>
        <w:rPr>
          <w:rFonts w:hint="eastAsia" w:ascii="宋体" w:hAnsi="宋体" w:eastAsia="宋体" w:cs="宋体"/>
          <w:sz w:val="21"/>
          <w:szCs w:val="21"/>
        </w:rPr>
      </w:pPr>
      <w:bookmarkStart w:id="13" w:name="bookmark1580"/>
      <w:bookmarkEnd w:id="13"/>
      <w:r>
        <w:rPr>
          <w:rFonts w:hint="eastAsia" w:ascii="宋体" w:hAnsi="宋体" w:eastAsia="宋体" w:cs="宋体"/>
          <w:sz w:val="21"/>
          <w:szCs w:val="21"/>
        </w:rPr>
        <w:t>D.“银行已付、企业未付”项目包含一项2021年II月支付的销售返利，该笔付款已经总经理授权，但由于经办人员未提供相关单据，会计部门尚未入账</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D</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选项D不属于未达账项的情况，未达账项是指企业与银行之间，对同一项经济业务由于凭证传递上的时间差所形成的一方已登记入账，而另一方因未收到相关凭证，尚未登记入账的事项。选项D是因为经办人员未提供相关单据，而使会计部门尚未入账，所以不合理。</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bookmarkStart w:id="14" w:name="bookmark1581"/>
      <w:bookmarkEnd w:id="14"/>
      <w:r>
        <w:rPr>
          <w:rFonts w:hint="eastAsia" w:ascii="宋体" w:hAnsi="宋体" w:eastAsia="宋体" w:cs="宋体"/>
          <w:sz w:val="21"/>
          <w:szCs w:val="21"/>
        </w:rPr>
        <w:t>4.针对被审计单位某银行账户的银行对账单余额与银行存款日记账余额不符，下列各项审计程序中，最有效的是(        )。</w:t>
      </w:r>
    </w:p>
    <w:p>
      <w:pPr>
        <w:ind w:firstLine="420" w:firstLineChars="200"/>
        <w:rPr>
          <w:rFonts w:hint="eastAsia" w:ascii="宋体" w:hAnsi="宋体" w:eastAsia="宋体" w:cs="宋体"/>
          <w:sz w:val="21"/>
          <w:szCs w:val="21"/>
        </w:rPr>
      </w:pPr>
      <w:bookmarkStart w:id="15" w:name="bookmark1582"/>
      <w:bookmarkEnd w:id="15"/>
      <w:r>
        <w:rPr>
          <w:rFonts w:hint="eastAsia" w:ascii="宋体" w:hAnsi="宋体" w:eastAsia="宋体" w:cs="宋体"/>
          <w:sz w:val="21"/>
          <w:szCs w:val="21"/>
        </w:rPr>
        <w:t>A.重新测试相关的内部控制</w:t>
      </w:r>
    </w:p>
    <w:p>
      <w:pPr>
        <w:ind w:firstLine="420" w:firstLineChars="200"/>
        <w:rPr>
          <w:rFonts w:hint="eastAsia" w:ascii="宋体" w:hAnsi="宋体" w:eastAsia="宋体" w:cs="宋体"/>
          <w:sz w:val="21"/>
          <w:szCs w:val="21"/>
        </w:rPr>
      </w:pPr>
      <w:bookmarkStart w:id="16" w:name="bookmark1583"/>
      <w:bookmarkEnd w:id="16"/>
      <w:r>
        <w:rPr>
          <w:rFonts w:hint="eastAsia" w:ascii="宋体" w:hAnsi="宋体" w:eastAsia="宋体" w:cs="宋体"/>
          <w:sz w:val="21"/>
          <w:szCs w:val="21"/>
        </w:rPr>
        <w:t>B.检查银行存款日记账中记录的资产负债表日前后的收付情况</w:t>
      </w:r>
    </w:p>
    <w:p>
      <w:pPr>
        <w:ind w:firstLine="420" w:firstLineChars="200"/>
        <w:rPr>
          <w:rFonts w:hint="eastAsia" w:ascii="宋体" w:hAnsi="宋体" w:eastAsia="宋体" w:cs="宋体"/>
          <w:sz w:val="21"/>
          <w:szCs w:val="21"/>
        </w:rPr>
      </w:pPr>
      <w:bookmarkStart w:id="17" w:name="bookmark1584"/>
      <w:bookmarkEnd w:id="17"/>
      <w:r>
        <w:rPr>
          <w:rFonts w:hint="eastAsia" w:ascii="宋体" w:hAnsi="宋体" w:eastAsia="宋体" w:cs="宋体"/>
          <w:sz w:val="21"/>
          <w:szCs w:val="21"/>
        </w:rPr>
        <w:t>C.向该银行函证</w:t>
      </w:r>
    </w:p>
    <w:p>
      <w:pPr>
        <w:ind w:firstLine="420" w:firstLineChars="200"/>
        <w:rPr>
          <w:rFonts w:hint="eastAsia" w:ascii="宋体" w:hAnsi="宋体" w:eastAsia="宋体" w:cs="宋体"/>
          <w:sz w:val="21"/>
          <w:szCs w:val="21"/>
        </w:rPr>
      </w:pPr>
      <w:bookmarkStart w:id="18" w:name="bookmark1585"/>
      <w:bookmarkEnd w:id="18"/>
      <w:r>
        <w:rPr>
          <w:rFonts w:hint="eastAsia" w:ascii="宋体" w:hAnsi="宋体" w:eastAsia="宋体" w:cs="宋体"/>
          <w:sz w:val="21"/>
          <w:szCs w:val="21"/>
        </w:rPr>
        <w:t>D.检查该银行账户的银行存款余额调</w:t>
      </w:r>
      <w:r>
        <w:rPr>
          <w:rFonts w:hint="eastAsia" w:ascii="宋体" w:hAnsi="宋体" w:eastAsia="宋体" w:cs="宋体"/>
          <w:sz w:val="21"/>
          <w:szCs w:val="21"/>
          <w:lang w:val="en-US" w:eastAsia="zh-CN"/>
        </w:rPr>
        <w:t>节</w:t>
      </w:r>
      <w:r>
        <w:rPr>
          <w:rFonts w:hint="eastAsia" w:ascii="宋体" w:hAnsi="宋体" w:eastAsia="宋体" w:cs="宋体"/>
          <w:sz w:val="21"/>
          <w:szCs w:val="21"/>
        </w:rPr>
        <w:t>表</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D</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【解析】通过检査银行存款余额调节表可以检查调节后银行存款日记账金额与银行对账单余额是否一致</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bookmarkStart w:id="19" w:name="bookmark1586"/>
      <w:bookmarkEnd w:id="19"/>
      <w:r>
        <w:rPr>
          <w:rFonts w:hint="eastAsia" w:ascii="宋体" w:hAnsi="宋体" w:eastAsia="宋体" w:cs="宋体"/>
          <w:sz w:val="21"/>
          <w:szCs w:val="21"/>
        </w:rPr>
        <w:t>5.注册会计师获取的银行对账单显示余额为775000元，并注意到以下事项：在途存款25000元，企业幵出的转账支票3600元；企业未入账的借款利息扣除5000元，企业收到外单位开具的转账支票16000元，隔定不考虑其他的因素，则编制的银行存款余额调节表中调节后的金额是(        )元。</w:t>
      </w:r>
    </w:p>
    <w:p>
      <w:pPr>
        <w:ind w:firstLine="420" w:firstLineChars="200"/>
        <w:rPr>
          <w:rFonts w:hint="eastAsia" w:ascii="宋体" w:hAnsi="宋体" w:eastAsia="宋体" w:cs="宋体"/>
          <w:sz w:val="21"/>
          <w:szCs w:val="21"/>
        </w:rPr>
      </w:pPr>
      <w:bookmarkStart w:id="20" w:name="bookmark1587"/>
      <w:bookmarkEnd w:id="20"/>
      <w:r>
        <w:rPr>
          <w:rFonts w:hint="eastAsia" w:ascii="宋体" w:hAnsi="宋体" w:eastAsia="宋体" w:cs="宋体"/>
          <w:sz w:val="21"/>
          <w:szCs w:val="21"/>
        </w:rPr>
        <w:t>A.795000</w:t>
      </w:r>
      <w:r>
        <w:rPr>
          <w:rFonts w:hint="eastAsia" w:ascii="宋体" w:hAnsi="宋体" w:eastAsia="宋体" w:cs="宋体"/>
          <w:sz w:val="21"/>
          <w:szCs w:val="21"/>
        </w:rPr>
        <w:tab/>
      </w:r>
      <w:r>
        <w:rPr>
          <w:rFonts w:hint="eastAsia" w:ascii="宋体" w:hAnsi="宋体" w:eastAsia="宋体" w:cs="宋体"/>
          <w:sz w:val="21"/>
          <w:szCs w:val="21"/>
        </w:rPr>
        <w:t>B.812400</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C.786000</w:t>
      </w:r>
      <w:r>
        <w:rPr>
          <w:rFonts w:hint="eastAsia" w:ascii="宋体" w:hAnsi="宋体" w:eastAsia="宋体" w:cs="宋体"/>
          <w:sz w:val="21"/>
          <w:szCs w:val="21"/>
        </w:rPr>
        <w:tab/>
      </w:r>
      <w:r>
        <w:rPr>
          <w:rFonts w:hint="eastAsia" w:ascii="宋体" w:hAnsi="宋体" w:eastAsia="宋体" w:cs="宋体"/>
          <w:sz w:val="21"/>
          <w:szCs w:val="21"/>
        </w:rPr>
        <w:t>D.796400</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【解析】经银行存款余额调节表调节后的金额为775000+25000+16000-3600=812400（元）。</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bookmarkStart w:id="21" w:name="bookmark1588"/>
      <w:bookmarkEnd w:id="21"/>
      <w:r>
        <w:rPr>
          <w:rFonts w:hint="eastAsia" w:ascii="宋体" w:hAnsi="宋体" w:eastAsia="宋体" w:cs="宋体"/>
          <w:sz w:val="21"/>
          <w:szCs w:val="21"/>
        </w:rPr>
        <w:t>6.下列有关银行存款函证的说法中，错误的是(        )。</w:t>
      </w:r>
    </w:p>
    <w:p>
      <w:pPr>
        <w:ind w:firstLine="420" w:firstLineChars="200"/>
        <w:rPr>
          <w:rFonts w:hint="eastAsia" w:ascii="宋体" w:hAnsi="宋体" w:eastAsia="宋体" w:cs="宋体"/>
          <w:sz w:val="21"/>
          <w:szCs w:val="21"/>
        </w:rPr>
      </w:pPr>
      <w:bookmarkStart w:id="22" w:name="bookmark1589"/>
      <w:bookmarkEnd w:id="22"/>
      <w:r>
        <w:rPr>
          <w:rFonts w:hint="eastAsia" w:ascii="宋体" w:hAnsi="宋体" w:eastAsia="宋体" w:cs="宋体"/>
          <w:sz w:val="21"/>
          <w:szCs w:val="21"/>
        </w:rPr>
        <w:t>A.银行存款函证程序可证实资产负债表所列银行存款是否存在</w:t>
      </w:r>
    </w:p>
    <w:p>
      <w:pPr>
        <w:ind w:firstLine="420" w:firstLineChars="200"/>
        <w:rPr>
          <w:rFonts w:hint="eastAsia" w:ascii="宋体" w:hAnsi="宋体" w:eastAsia="宋体" w:cs="宋体"/>
          <w:sz w:val="21"/>
          <w:szCs w:val="21"/>
        </w:rPr>
      </w:pPr>
      <w:bookmarkStart w:id="23" w:name="bookmark1590"/>
      <w:bookmarkEnd w:id="23"/>
      <w:r>
        <w:rPr>
          <w:rFonts w:hint="eastAsia" w:ascii="宋体" w:hAnsi="宋体" w:eastAsia="宋体" w:cs="宋体"/>
          <w:sz w:val="21"/>
          <w:szCs w:val="21"/>
        </w:rPr>
        <w:t>B.零余额账户应纳入函证范围</w:t>
      </w:r>
    </w:p>
    <w:p>
      <w:pPr>
        <w:ind w:firstLine="420" w:firstLineChars="200"/>
        <w:rPr>
          <w:rFonts w:hint="eastAsia" w:ascii="宋体" w:hAnsi="宋体" w:eastAsia="宋体" w:cs="宋体"/>
          <w:sz w:val="21"/>
          <w:szCs w:val="21"/>
        </w:rPr>
      </w:pPr>
      <w:bookmarkStart w:id="24" w:name="bookmark1591"/>
      <w:bookmarkEnd w:id="24"/>
      <w:r>
        <w:rPr>
          <w:rFonts w:hint="eastAsia" w:ascii="宋体" w:hAnsi="宋体" w:eastAsia="宋体" w:cs="宋体"/>
          <w:sz w:val="21"/>
          <w:szCs w:val="21"/>
        </w:rPr>
        <w:t>C.如果有充分证据表明某银行存款对财务报表不重要，注册会计师可以不对其实施函证</w:t>
      </w:r>
    </w:p>
    <w:p>
      <w:pPr>
        <w:ind w:firstLine="420" w:firstLineChars="200"/>
        <w:rPr>
          <w:rFonts w:hint="eastAsia" w:ascii="宋体" w:hAnsi="宋体" w:eastAsia="宋体" w:cs="宋体"/>
          <w:sz w:val="21"/>
          <w:szCs w:val="21"/>
        </w:rPr>
      </w:pPr>
      <w:bookmarkStart w:id="25" w:name="bookmark1592"/>
      <w:bookmarkEnd w:id="25"/>
      <w:r>
        <w:rPr>
          <w:rFonts w:hint="eastAsia" w:ascii="宋体" w:hAnsi="宋体" w:eastAsia="宋体" w:cs="宋体"/>
          <w:sz w:val="21"/>
          <w:szCs w:val="21"/>
        </w:rPr>
        <w:t>D.在实施银行函证时，注册会计师应当以被审计单位名义向银行发函询证</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C</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注册会计师应当对银行存款（包括零余额账户和在本期内注销的账户）、借款及与金融机构往来的其他重要信息实施函证程序，除非有充分证据表明某一银行存款、借款及与金融机构往来的其他重要信息对财务报表不重要且与之相关的重大错报风险很低。</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bookmarkStart w:id="26" w:name="bookmark1593"/>
      <w:bookmarkEnd w:id="26"/>
      <w:r>
        <w:rPr>
          <w:rFonts w:hint="eastAsia" w:ascii="宋体" w:hAnsi="宋体" w:eastAsia="宋体" w:cs="宋体"/>
          <w:sz w:val="21"/>
          <w:szCs w:val="21"/>
        </w:rPr>
        <w:t>7.注册会计师对定期存款执行的下列审计程序中，错误的是(        )。</w:t>
      </w:r>
    </w:p>
    <w:p>
      <w:pPr>
        <w:ind w:firstLine="420" w:firstLineChars="200"/>
        <w:rPr>
          <w:rFonts w:hint="eastAsia" w:ascii="宋体" w:hAnsi="宋体" w:eastAsia="宋体" w:cs="宋体"/>
          <w:sz w:val="21"/>
          <w:szCs w:val="21"/>
        </w:rPr>
      </w:pPr>
      <w:bookmarkStart w:id="27" w:name="bookmark1594"/>
      <w:bookmarkEnd w:id="27"/>
      <w:r>
        <w:rPr>
          <w:rFonts w:hint="eastAsia" w:ascii="宋体" w:hAnsi="宋体" w:eastAsia="宋体" w:cs="宋体"/>
          <w:sz w:val="21"/>
          <w:szCs w:val="21"/>
        </w:rPr>
        <w:t>A.函证定期存款的相关信息</w:t>
      </w:r>
    </w:p>
    <w:p>
      <w:pPr>
        <w:ind w:firstLine="420" w:firstLineChars="200"/>
        <w:rPr>
          <w:rFonts w:hint="eastAsia" w:ascii="宋体" w:hAnsi="宋体" w:eastAsia="宋体" w:cs="宋体"/>
          <w:sz w:val="21"/>
          <w:szCs w:val="21"/>
        </w:rPr>
      </w:pPr>
      <w:bookmarkStart w:id="28" w:name="bookmark1595"/>
      <w:bookmarkEnd w:id="28"/>
      <w:r>
        <w:rPr>
          <w:rFonts w:hint="eastAsia" w:ascii="宋体" w:hAnsi="宋体" w:eastAsia="宋体" w:cs="宋体"/>
          <w:sz w:val="21"/>
          <w:szCs w:val="21"/>
        </w:rPr>
        <w:t>B.对存款期限跨越资产负债表日的未质押定期存款，检査开户证实书的复印件</w:t>
      </w:r>
    </w:p>
    <w:p>
      <w:pPr>
        <w:ind w:firstLine="420" w:firstLineChars="200"/>
        <w:rPr>
          <w:rFonts w:hint="eastAsia" w:ascii="宋体" w:hAnsi="宋体" w:eastAsia="宋体" w:cs="宋体"/>
          <w:sz w:val="21"/>
          <w:szCs w:val="21"/>
        </w:rPr>
      </w:pPr>
      <w:bookmarkStart w:id="29" w:name="bookmark1596"/>
      <w:bookmarkEnd w:id="29"/>
      <w:r>
        <w:rPr>
          <w:rFonts w:hint="eastAsia" w:ascii="宋体" w:hAnsi="宋体" w:eastAsia="宋体" w:cs="宋体"/>
          <w:sz w:val="21"/>
          <w:szCs w:val="21"/>
        </w:rPr>
        <w:t>C.结合财务费用和投资收益审计，分析利息收入的合理性，判断定期存款是否真实存在</w:t>
      </w:r>
    </w:p>
    <w:p>
      <w:pPr>
        <w:ind w:firstLine="420" w:firstLineChars="200"/>
        <w:rPr>
          <w:rFonts w:hint="eastAsia" w:ascii="宋体" w:hAnsi="宋体" w:eastAsia="宋体" w:cs="宋体"/>
          <w:sz w:val="21"/>
          <w:szCs w:val="21"/>
        </w:rPr>
      </w:pPr>
      <w:bookmarkStart w:id="30" w:name="bookmark1597"/>
      <w:bookmarkEnd w:id="30"/>
      <w:r>
        <w:rPr>
          <w:rFonts w:hint="eastAsia" w:ascii="宋体" w:hAnsi="宋体" w:eastAsia="宋体" w:cs="宋体"/>
          <w:sz w:val="21"/>
          <w:szCs w:val="21"/>
        </w:rPr>
        <w:t>D.实地观察被审计单位登录网银系统査询定期存款信息，并将查询信息截屏保存</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【解析】对存款期限跨越资产负债表日的未质押定期存款，检査开户证实书原件而非复印件。</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bookmarkStart w:id="31" w:name="bookmark1598"/>
      <w:bookmarkEnd w:id="31"/>
      <w:r>
        <w:rPr>
          <w:rFonts w:hint="eastAsia" w:ascii="宋体" w:hAnsi="宋体" w:eastAsia="宋体" w:cs="宋体"/>
          <w:sz w:val="21"/>
          <w:szCs w:val="21"/>
        </w:rPr>
        <w:t>8.下列有关货币资金的实质性程序的说法中，错误的是</w:t>
      </w:r>
      <w:bookmarkStart w:id="32" w:name="bookmark1599"/>
      <w:bookmarkEnd w:id="32"/>
      <w:r>
        <w:rPr>
          <w:rFonts w:hint="eastAsia" w:ascii="宋体" w:hAnsi="宋体" w:eastAsia="宋体" w:cs="宋体"/>
          <w:sz w:val="21"/>
          <w:szCs w:val="21"/>
        </w:rPr>
        <w:t>(        )。</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A.对于保证金存款的检査，注册会计师可以检査开立银行承兑汇票的协议或银行授信审批文件</w:t>
      </w:r>
    </w:p>
    <w:p>
      <w:pPr>
        <w:ind w:firstLine="420" w:firstLineChars="200"/>
        <w:rPr>
          <w:rFonts w:hint="eastAsia" w:ascii="宋体" w:hAnsi="宋体" w:eastAsia="宋体" w:cs="宋体"/>
          <w:sz w:val="21"/>
          <w:szCs w:val="21"/>
        </w:rPr>
      </w:pPr>
      <w:bookmarkStart w:id="33" w:name="bookmark1600"/>
      <w:bookmarkEnd w:id="33"/>
      <w:r>
        <w:rPr>
          <w:rFonts w:hint="eastAsia" w:ascii="宋体" w:hAnsi="宋体" w:eastAsia="宋体" w:cs="宋体"/>
          <w:sz w:val="21"/>
          <w:szCs w:val="21"/>
        </w:rPr>
        <w:t>B.如果被审计单位的定期存款占银行存款的比例偏高，注册会计师需要向管理层询问定期存款存在的商业理由并评估其合理性</w:t>
      </w:r>
    </w:p>
    <w:p>
      <w:pPr>
        <w:ind w:firstLine="420" w:firstLineChars="200"/>
        <w:rPr>
          <w:rFonts w:hint="eastAsia" w:ascii="宋体" w:hAnsi="宋体" w:eastAsia="宋体" w:cs="宋体"/>
          <w:sz w:val="21"/>
          <w:szCs w:val="21"/>
        </w:rPr>
      </w:pPr>
      <w:bookmarkStart w:id="34" w:name="bookmark1601"/>
      <w:bookmarkEnd w:id="34"/>
      <w:r>
        <w:rPr>
          <w:rFonts w:hint="eastAsia" w:ascii="宋体" w:hAnsi="宋体" w:eastAsia="宋体" w:cs="宋体"/>
          <w:sz w:val="21"/>
          <w:szCs w:val="21"/>
        </w:rPr>
        <w:t>C.对于在报告期内到期结转的定期存款、资产负债表日后已提取的定期存款，检査、核对相应的兑付凭证、银行对账单或网银记录等</w:t>
      </w:r>
    </w:p>
    <w:p>
      <w:pPr>
        <w:ind w:firstLine="420" w:firstLineChars="200"/>
        <w:rPr>
          <w:rFonts w:hint="eastAsia" w:ascii="宋体" w:hAnsi="宋体" w:eastAsia="宋体" w:cs="宋体"/>
          <w:sz w:val="21"/>
          <w:szCs w:val="21"/>
        </w:rPr>
      </w:pPr>
      <w:bookmarkStart w:id="35" w:name="bookmark1602"/>
      <w:bookmarkEnd w:id="35"/>
      <w:r>
        <w:rPr>
          <w:rFonts w:hint="eastAsia" w:ascii="宋体" w:hAnsi="宋体" w:eastAsia="宋体" w:cs="宋体"/>
          <w:sz w:val="21"/>
          <w:szCs w:val="21"/>
        </w:rPr>
        <w:t>D.对已质押的定期存款，检査定期存单原件</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D</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【解析】对已质押的定期存款，检査定期存单复印件，并与相应的质押合同核对，核对存款人、金额、期限等相关信息。</w:t>
      </w:r>
    </w:p>
    <w:p>
      <w:pPr>
        <w:rPr>
          <w:rFonts w:hint="eastAsia" w:ascii="宋体" w:hAnsi="宋体" w:eastAsia="宋体" w:cs="宋体"/>
          <w:sz w:val="21"/>
          <w:szCs w:val="21"/>
        </w:rPr>
      </w:pPr>
    </w:p>
    <w:p>
      <w:pPr>
        <w:pStyle w:val="12"/>
        <w:spacing w:line="360" w:lineRule="exact"/>
        <w:jc w:val="center"/>
        <w:rPr>
          <w:rFonts w:hint="eastAsia" w:ascii="宋体" w:hAnsi="宋体" w:eastAsia="宋体" w:cs="宋体"/>
          <w:sz w:val="21"/>
          <w:szCs w:val="21"/>
        </w:rPr>
      </w:pPr>
      <w:r>
        <w:rPr>
          <w:rFonts w:hint="eastAsia" w:ascii="宋体" w:hAnsi="宋体" w:eastAsia="宋体" w:cs="宋体"/>
          <w:sz w:val="21"/>
          <w:szCs w:val="21"/>
        </w:rPr>
        <w:t>二、多项选择题</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1.下列与现金业务有关的职责中，应当予以分离的有(        )。</w:t>
      </w:r>
    </w:p>
    <w:p>
      <w:pPr>
        <w:ind w:firstLine="420" w:firstLineChars="200"/>
        <w:rPr>
          <w:rFonts w:hint="eastAsia" w:ascii="宋体" w:hAnsi="宋体" w:eastAsia="宋体" w:cs="宋体"/>
          <w:sz w:val="21"/>
          <w:szCs w:val="21"/>
        </w:rPr>
      </w:pPr>
      <w:bookmarkStart w:id="36" w:name="bookmark1604"/>
      <w:bookmarkEnd w:id="36"/>
      <w:r>
        <w:rPr>
          <w:rFonts w:hint="eastAsia" w:ascii="宋体" w:hAnsi="宋体" w:eastAsia="宋体" w:cs="宋体"/>
          <w:sz w:val="21"/>
          <w:szCs w:val="21"/>
        </w:rPr>
        <w:t>A.现金支付的审批与执行</w:t>
      </w:r>
    </w:p>
    <w:p>
      <w:pPr>
        <w:ind w:firstLine="420" w:firstLineChars="200"/>
        <w:rPr>
          <w:rFonts w:hint="eastAsia" w:ascii="宋体" w:hAnsi="宋体" w:eastAsia="宋体" w:cs="宋体"/>
          <w:sz w:val="21"/>
          <w:szCs w:val="21"/>
        </w:rPr>
      </w:pPr>
      <w:bookmarkStart w:id="37" w:name="bookmark1605"/>
      <w:bookmarkEnd w:id="37"/>
      <w:r>
        <w:rPr>
          <w:rFonts w:hint="eastAsia" w:ascii="宋体" w:hAnsi="宋体" w:eastAsia="宋体" w:cs="宋体"/>
          <w:sz w:val="21"/>
          <w:szCs w:val="21"/>
        </w:rPr>
        <w:t>B.现金保管与现金日记账的登记</w:t>
      </w:r>
    </w:p>
    <w:p>
      <w:pPr>
        <w:ind w:firstLine="420" w:firstLineChars="200"/>
        <w:rPr>
          <w:rFonts w:hint="eastAsia" w:ascii="宋体" w:hAnsi="宋体" w:eastAsia="宋体" w:cs="宋体"/>
          <w:sz w:val="21"/>
          <w:szCs w:val="21"/>
        </w:rPr>
      </w:pPr>
      <w:bookmarkStart w:id="38" w:name="bookmark1606"/>
      <w:bookmarkEnd w:id="38"/>
      <w:r>
        <w:rPr>
          <w:rFonts w:hint="eastAsia" w:ascii="宋体" w:hAnsi="宋体" w:eastAsia="宋体" w:cs="宋体"/>
          <w:sz w:val="21"/>
          <w:szCs w:val="21"/>
        </w:rPr>
        <w:t>C.现金的会计记录与审计监督</w:t>
      </w:r>
    </w:p>
    <w:p>
      <w:pPr>
        <w:ind w:firstLine="420" w:firstLineChars="200"/>
        <w:rPr>
          <w:rFonts w:hint="eastAsia" w:ascii="宋体" w:hAnsi="宋体" w:eastAsia="宋体" w:cs="宋体"/>
          <w:sz w:val="21"/>
          <w:szCs w:val="21"/>
        </w:rPr>
      </w:pPr>
      <w:bookmarkStart w:id="39" w:name="bookmark1607"/>
      <w:bookmarkEnd w:id="39"/>
      <w:r>
        <w:rPr>
          <w:rFonts w:hint="eastAsia" w:ascii="宋体" w:hAnsi="宋体" w:eastAsia="宋体" w:cs="宋体"/>
          <w:sz w:val="21"/>
          <w:szCs w:val="21"/>
        </w:rPr>
        <w:t>D.现金日记账与现金总账的登记</w:t>
      </w:r>
    </w:p>
    <w:p>
      <w:pPr>
        <w:widowControl/>
        <w:ind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ACD</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选项A,审批和执行属于不相容职务；选项8,现金的保管和现金日记账的登记，属于相容职务，在实务中企业出纳往往也是兼顾两者的工作；选项C,会计执行和审计监督属于不相容职务；选项D,总账与日记账之间存在互相核对的作用，所以不能够由同一个人进行登记，属于不相容职务。</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bookmarkStart w:id="40" w:name="bookmark1608"/>
      <w:bookmarkEnd w:id="40"/>
      <w:r>
        <w:rPr>
          <w:rFonts w:hint="eastAsia" w:ascii="宋体" w:hAnsi="宋体" w:eastAsia="宋体" w:cs="宋体"/>
          <w:sz w:val="21"/>
          <w:szCs w:val="21"/>
        </w:rPr>
        <w:t>2.下列有关银行存款的实质性程序的说法中，正确的有(        )。</w:t>
      </w:r>
    </w:p>
    <w:p>
      <w:pPr>
        <w:ind w:firstLine="420" w:firstLineChars="200"/>
        <w:rPr>
          <w:rFonts w:hint="eastAsia" w:ascii="宋体" w:hAnsi="宋体" w:eastAsia="宋体" w:cs="宋体"/>
          <w:sz w:val="21"/>
          <w:szCs w:val="21"/>
        </w:rPr>
      </w:pPr>
      <w:bookmarkStart w:id="41" w:name="bookmark1609"/>
      <w:bookmarkEnd w:id="41"/>
      <w:r>
        <w:rPr>
          <w:rFonts w:hint="eastAsia" w:ascii="宋体" w:hAnsi="宋体" w:eastAsia="宋体" w:cs="宋体"/>
          <w:sz w:val="21"/>
          <w:szCs w:val="21"/>
        </w:rPr>
        <w:t>A.通过向往来银行函证，有助于发现企业未入账的银行借款和未披露的或有负债</w:t>
      </w:r>
    </w:p>
    <w:p>
      <w:pPr>
        <w:ind w:firstLine="420" w:firstLineChars="200"/>
        <w:rPr>
          <w:rFonts w:hint="eastAsia" w:ascii="宋体" w:hAnsi="宋体" w:eastAsia="宋体" w:cs="宋体"/>
          <w:sz w:val="21"/>
          <w:szCs w:val="21"/>
        </w:rPr>
      </w:pPr>
      <w:bookmarkStart w:id="42" w:name="bookmark1610"/>
      <w:bookmarkEnd w:id="42"/>
      <w:r>
        <w:rPr>
          <w:rFonts w:hint="eastAsia" w:ascii="宋体" w:hAnsi="宋体" w:eastAsia="宋体" w:cs="宋体"/>
          <w:sz w:val="21"/>
          <w:szCs w:val="21"/>
        </w:rPr>
        <w:t>B.注册会计师应检查银行存款账户存款人是否为被审计单位，若存款人非被审计单位，应获取该账户户主和被审计单位的书面声明</w:t>
      </w:r>
    </w:p>
    <w:p>
      <w:pPr>
        <w:ind w:firstLine="420" w:firstLineChars="200"/>
        <w:rPr>
          <w:rFonts w:hint="eastAsia" w:ascii="宋体" w:hAnsi="宋体" w:eastAsia="宋体" w:cs="宋体"/>
          <w:sz w:val="21"/>
          <w:szCs w:val="21"/>
        </w:rPr>
      </w:pPr>
      <w:bookmarkStart w:id="43" w:name="bookmark1611"/>
      <w:bookmarkEnd w:id="43"/>
      <w:r>
        <w:rPr>
          <w:rFonts w:hint="eastAsia" w:ascii="宋体" w:hAnsi="宋体" w:eastAsia="宋体" w:cs="宋体"/>
          <w:sz w:val="21"/>
          <w:szCs w:val="21"/>
        </w:rPr>
        <w:t>C.如果不对银行存款实施函证，注册会计师应当在审计工作底稿中说明理由</w:t>
      </w:r>
    </w:p>
    <w:p>
      <w:pPr>
        <w:ind w:firstLine="420" w:firstLineChars="200"/>
        <w:rPr>
          <w:rFonts w:hint="eastAsia" w:ascii="宋体" w:hAnsi="宋体" w:eastAsia="宋体" w:cs="宋体"/>
          <w:sz w:val="21"/>
          <w:szCs w:val="21"/>
        </w:rPr>
      </w:pPr>
      <w:bookmarkStart w:id="44" w:name="bookmark1612"/>
      <w:bookmarkEnd w:id="44"/>
      <w:r>
        <w:rPr>
          <w:rFonts w:hint="eastAsia" w:ascii="宋体" w:hAnsi="宋体" w:eastAsia="宋体" w:cs="宋体"/>
          <w:sz w:val="21"/>
          <w:szCs w:val="21"/>
        </w:rPr>
        <w:t>D.对于银收企未收的款项，检査被审计单位收款入账的原始凭证，并确定是否已在期后银行对账单上得以反映</w:t>
      </w:r>
    </w:p>
    <w:p>
      <w:pPr>
        <w:widowControl/>
        <w:ind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ABC</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选项D,对于企收银未收款项，检査被审计单位收款入账的原始凭证，检查其是否已在期后银行对账单上得以反映。对于银收企未收、银付企未付款项，检查收、付款项的内容及金额，确定是否为截止错报。</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bookmarkStart w:id="45" w:name="bookmark1613"/>
      <w:bookmarkEnd w:id="45"/>
      <w:r>
        <w:rPr>
          <w:rFonts w:hint="eastAsia" w:ascii="宋体" w:hAnsi="宋体" w:eastAsia="宋体" w:cs="宋体"/>
          <w:sz w:val="21"/>
          <w:szCs w:val="21"/>
        </w:rPr>
        <w:t>3.下列有关银行存款审计的说法中，正确的有(        )。</w:t>
      </w:r>
    </w:p>
    <w:p>
      <w:pPr>
        <w:ind w:firstLine="420" w:firstLineChars="200"/>
        <w:rPr>
          <w:rFonts w:hint="eastAsia" w:ascii="宋体" w:hAnsi="宋体" w:eastAsia="宋体" w:cs="宋体"/>
          <w:sz w:val="21"/>
          <w:szCs w:val="21"/>
        </w:rPr>
      </w:pPr>
      <w:bookmarkStart w:id="46" w:name="bookmark1614"/>
      <w:bookmarkEnd w:id="46"/>
      <w:r>
        <w:rPr>
          <w:rFonts w:hint="eastAsia" w:ascii="宋体" w:hAnsi="宋体" w:eastAsia="宋体" w:cs="宋体"/>
          <w:sz w:val="21"/>
          <w:szCs w:val="21"/>
        </w:rPr>
        <w:t>A.除余额较小的银行账户不实施函证外，其他银行账户均应实施函证</w:t>
      </w:r>
    </w:p>
    <w:p>
      <w:pPr>
        <w:ind w:firstLine="420" w:firstLineChars="200"/>
        <w:rPr>
          <w:rFonts w:hint="eastAsia" w:ascii="宋体" w:hAnsi="宋体" w:eastAsia="宋体" w:cs="宋体"/>
          <w:sz w:val="21"/>
          <w:szCs w:val="21"/>
        </w:rPr>
      </w:pPr>
      <w:bookmarkStart w:id="47" w:name="bookmark1615"/>
      <w:bookmarkEnd w:id="47"/>
      <w:r>
        <w:rPr>
          <w:rFonts w:hint="eastAsia" w:ascii="宋体" w:hAnsi="宋体" w:eastAsia="宋体" w:cs="宋体"/>
          <w:sz w:val="21"/>
          <w:szCs w:val="21"/>
        </w:rPr>
        <w:t>B.取得并检查银行对账单和银行存款余额调节表是证实银行存款是否存在的重要程序</w:t>
      </w:r>
    </w:p>
    <w:p>
      <w:pPr>
        <w:ind w:firstLine="420" w:firstLineChars="200"/>
        <w:rPr>
          <w:rFonts w:hint="eastAsia" w:ascii="宋体" w:hAnsi="宋体" w:eastAsia="宋体" w:cs="宋体"/>
          <w:sz w:val="21"/>
          <w:szCs w:val="21"/>
        </w:rPr>
      </w:pPr>
      <w:bookmarkStart w:id="48" w:name="bookmark1616"/>
      <w:bookmarkEnd w:id="48"/>
      <w:r>
        <w:rPr>
          <w:rFonts w:hint="eastAsia" w:ascii="宋体" w:hAnsi="宋体" w:eastAsia="宋体" w:cs="宋体"/>
          <w:sz w:val="21"/>
          <w:szCs w:val="21"/>
        </w:rPr>
        <w:t>C.对相同金额的一收一付、相同金额的多次转入转出等大额异常货币资金发生额，注册会计师应关注相关交易及相应资金流转安排是否具有合理的商业理由</w:t>
      </w:r>
    </w:p>
    <w:p>
      <w:pPr>
        <w:ind w:firstLine="420" w:firstLineChars="200"/>
        <w:rPr>
          <w:rFonts w:hint="eastAsia" w:ascii="宋体" w:hAnsi="宋体" w:eastAsia="宋体" w:cs="宋体"/>
          <w:sz w:val="21"/>
          <w:szCs w:val="21"/>
        </w:rPr>
      </w:pPr>
      <w:bookmarkStart w:id="49" w:name="bookmark1617"/>
      <w:bookmarkEnd w:id="49"/>
      <w:r>
        <w:rPr>
          <w:rFonts w:hint="eastAsia" w:ascii="宋体" w:hAnsi="宋体" w:eastAsia="宋体" w:cs="宋体"/>
          <w:sz w:val="21"/>
          <w:szCs w:val="21"/>
        </w:rPr>
        <w:t>D.向银行函证被审计单位的银行存款，不仅可以证实被审计单位银行存款的真实性，还可以核实被审计单位对银行借款记录的完整性</w:t>
      </w:r>
    </w:p>
    <w:p>
      <w:pPr>
        <w:widowControl/>
        <w:ind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BCD</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选项A,注册会计师应当对银行存款（包括零余额账户和在本期内注销的账户）、借款及与金融机构往来的其他重要信息实施函证程序，除非有充分证据表明某一银行存款、借款及与金融机构往来的其他重要信息对财务报表不重要且与之相关的重大错报风险很低，因此余额的大小并非衡量对银行存款是否函证的条件。</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4.甲公司编制的2021年12月末银行存款余额调节表显示存在120000元的未达账项，其中包括甲公司已付而银行未付的材料釆购款100()00元。以下审计程序中，可能为该材料釆购款未达账项的真实性提供审计证据的有(        )。</w:t>
      </w:r>
    </w:p>
    <w:p>
      <w:pPr>
        <w:ind w:firstLine="420" w:firstLineChars="200"/>
        <w:rPr>
          <w:rFonts w:hint="eastAsia" w:ascii="宋体" w:hAnsi="宋体" w:eastAsia="宋体" w:cs="宋体"/>
          <w:sz w:val="21"/>
          <w:szCs w:val="21"/>
        </w:rPr>
      </w:pPr>
      <w:bookmarkStart w:id="50" w:name="bookmark1619"/>
      <w:bookmarkEnd w:id="50"/>
      <w:r>
        <w:rPr>
          <w:rFonts w:hint="eastAsia" w:ascii="宋体" w:hAnsi="宋体" w:eastAsia="宋体" w:cs="宋体"/>
          <w:sz w:val="21"/>
          <w:szCs w:val="21"/>
        </w:rPr>
        <w:t>A.检查2022年1月份的银行对账单</w:t>
      </w:r>
    </w:p>
    <w:p>
      <w:pPr>
        <w:ind w:firstLine="420" w:firstLineChars="200"/>
        <w:rPr>
          <w:rFonts w:hint="eastAsia" w:ascii="宋体" w:hAnsi="宋体" w:eastAsia="宋体" w:cs="宋体"/>
          <w:sz w:val="21"/>
          <w:szCs w:val="21"/>
        </w:rPr>
      </w:pPr>
      <w:bookmarkStart w:id="51" w:name="bookmark1620"/>
      <w:bookmarkEnd w:id="51"/>
      <w:r>
        <w:rPr>
          <w:rFonts w:hint="eastAsia" w:ascii="宋体" w:hAnsi="宋体" w:eastAsia="宋体" w:cs="宋体"/>
          <w:sz w:val="21"/>
          <w:szCs w:val="21"/>
        </w:rPr>
        <w:t>B.检査相关的采购合同、供应商销售发票和付款审批手续</w:t>
      </w:r>
    </w:p>
    <w:p>
      <w:pPr>
        <w:ind w:firstLine="420" w:firstLineChars="200"/>
        <w:rPr>
          <w:rFonts w:hint="eastAsia" w:ascii="宋体" w:hAnsi="宋体" w:eastAsia="宋体" w:cs="宋体"/>
          <w:sz w:val="21"/>
          <w:szCs w:val="21"/>
        </w:rPr>
      </w:pPr>
      <w:bookmarkStart w:id="52" w:name="bookmark1621"/>
      <w:bookmarkEnd w:id="52"/>
      <w:r>
        <w:rPr>
          <w:rFonts w:hint="eastAsia" w:ascii="宋体" w:hAnsi="宋体" w:eastAsia="宋体" w:cs="宋体"/>
          <w:sz w:val="21"/>
          <w:szCs w:val="21"/>
        </w:rPr>
        <w:t>C.就2021年12月末银行存款余额向银行寄发询证函</w:t>
      </w:r>
    </w:p>
    <w:p>
      <w:pPr>
        <w:ind w:firstLine="420" w:firstLineChars="200"/>
        <w:rPr>
          <w:rFonts w:hint="eastAsia" w:ascii="宋体" w:hAnsi="宋体" w:eastAsia="宋体" w:cs="宋体"/>
          <w:sz w:val="21"/>
          <w:szCs w:val="21"/>
        </w:rPr>
      </w:pPr>
      <w:bookmarkStart w:id="53" w:name="bookmark1622"/>
      <w:bookmarkEnd w:id="53"/>
      <w:r>
        <w:rPr>
          <w:rFonts w:hint="eastAsia" w:ascii="宋体" w:hAnsi="宋体" w:eastAsia="宋体" w:cs="宋体"/>
          <w:sz w:val="21"/>
          <w:szCs w:val="21"/>
        </w:rPr>
        <w:t>D.向相关的原材料供应商寄发询证函</w:t>
      </w:r>
    </w:p>
    <w:p>
      <w:pPr>
        <w:widowControl/>
        <w:ind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ABD</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【解析】由于在12月末供应商尚未办理转账，所以向银行函证12月末的银行存款余额是无效的。</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5.注册会计师拟对银行存款余额实施函证程序，下列做法中，正确的有()。</w:t>
      </w:r>
    </w:p>
    <w:p>
      <w:pPr>
        <w:ind w:firstLine="420" w:firstLineChars="200"/>
        <w:rPr>
          <w:rFonts w:hint="eastAsia" w:ascii="宋体" w:hAnsi="宋体" w:eastAsia="宋体" w:cs="宋体"/>
          <w:sz w:val="21"/>
          <w:szCs w:val="21"/>
        </w:rPr>
      </w:pPr>
      <w:bookmarkStart w:id="54" w:name="bookmark1624"/>
      <w:bookmarkEnd w:id="54"/>
      <w:r>
        <w:rPr>
          <w:rFonts w:hint="eastAsia" w:ascii="宋体" w:hAnsi="宋体" w:eastAsia="宋体" w:cs="宋体"/>
          <w:sz w:val="21"/>
          <w:szCs w:val="21"/>
        </w:rPr>
        <w:t>A.以被审计单位的名义寄发银行询证函</w:t>
      </w:r>
    </w:p>
    <w:p>
      <w:pPr>
        <w:ind w:firstLine="420" w:firstLineChars="200"/>
        <w:rPr>
          <w:rFonts w:hint="eastAsia" w:ascii="宋体" w:hAnsi="宋体" w:eastAsia="宋体" w:cs="宋体"/>
          <w:sz w:val="21"/>
          <w:szCs w:val="21"/>
        </w:rPr>
      </w:pPr>
      <w:bookmarkStart w:id="55" w:name="bookmark1625"/>
      <w:bookmarkEnd w:id="55"/>
      <w:r>
        <w:rPr>
          <w:rFonts w:hint="eastAsia" w:ascii="宋体" w:hAnsi="宋体" w:eastAsia="宋体" w:cs="宋体"/>
          <w:sz w:val="21"/>
          <w:szCs w:val="21"/>
        </w:rPr>
        <w:t>B.在本期已注销的银行账户，无需函证</w:t>
      </w:r>
    </w:p>
    <w:p>
      <w:pPr>
        <w:ind w:firstLine="420" w:firstLineChars="200"/>
        <w:rPr>
          <w:rFonts w:hint="eastAsia" w:ascii="宋体" w:hAnsi="宋体" w:eastAsia="宋体" w:cs="宋体"/>
          <w:sz w:val="21"/>
          <w:szCs w:val="21"/>
        </w:rPr>
      </w:pPr>
      <w:bookmarkStart w:id="56" w:name="bookmark1626"/>
      <w:bookmarkEnd w:id="56"/>
      <w:r>
        <w:rPr>
          <w:rFonts w:hint="eastAsia" w:ascii="宋体" w:hAnsi="宋体" w:eastAsia="宋体" w:cs="宋体"/>
          <w:sz w:val="21"/>
          <w:szCs w:val="21"/>
        </w:rPr>
        <w:t>C.由被审计单位代为填写银行询证函后,交由注册会计师复核后发出并回收</w:t>
      </w:r>
    </w:p>
    <w:p>
      <w:pPr>
        <w:ind w:firstLine="420" w:firstLineChars="200"/>
        <w:rPr>
          <w:rFonts w:hint="eastAsia" w:ascii="宋体" w:hAnsi="宋体" w:eastAsia="宋体" w:cs="宋体"/>
          <w:sz w:val="21"/>
          <w:szCs w:val="21"/>
        </w:rPr>
      </w:pPr>
      <w:bookmarkStart w:id="57" w:name="bookmark1627"/>
      <w:bookmarkEnd w:id="57"/>
      <w:r>
        <w:rPr>
          <w:rFonts w:hint="eastAsia" w:ascii="宋体" w:hAnsi="宋体" w:eastAsia="宋体" w:cs="宋体"/>
          <w:sz w:val="21"/>
          <w:szCs w:val="21"/>
        </w:rPr>
        <w:t>D.如果银行询证函回函结果表明没有差异，则可以直接认定银行存款余额是正确的</w:t>
      </w:r>
    </w:p>
    <w:p>
      <w:pPr>
        <w:widowControl/>
        <w:ind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AC</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【解析】选项B,在本期内注销的账户，也应实施函证程序；选项D,银行询证函回函結果表明没有差异，不能直接认定银行存款余额就是正确的。</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p>
    <w:p>
      <w:pPr>
        <w:pStyle w:val="12"/>
        <w:spacing w:line="360" w:lineRule="exact"/>
        <w:jc w:val="center"/>
        <w:rPr>
          <w:rFonts w:hint="eastAsia" w:ascii="宋体" w:hAnsi="宋体" w:eastAsia="宋体" w:cs="宋体"/>
          <w:sz w:val="21"/>
          <w:szCs w:val="21"/>
        </w:rPr>
      </w:pPr>
      <w:r>
        <w:rPr>
          <w:rFonts w:hint="eastAsia" w:ascii="宋体" w:hAnsi="宋体" w:eastAsia="宋体" w:cs="宋体"/>
          <w:sz w:val="21"/>
          <w:szCs w:val="21"/>
        </w:rPr>
        <w:t>三、判断题</w:t>
      </w:r>
    </w:p>
    <w:p>
      <w:pPr>
        <w:ind w:firstLine="420"/>
        <w:rPr>
          <w:rFonts w:hint="eastAsia" w:ascii="宋体" w:hAnsi="宋体" w:eastAsia="宋体" w:cs="宋体"/>
          <w:sz w:val="21"/>
          <w:szCs w:val="21"/>
        </w:rPr>
      </w:pPr>
      <w:r>
        <w:rPr>
          <w:rFonts w:hint="eastAsia" w:ascii="宋体" w:hAnsi="宋体" w:eastAsia="宋体" w:cs="宋体"/>
          <w:sz w:val="21"/>
          <w:szCs w:val="21"/>
        </w:rPr>
        <w:t>1. 根据货币资金存放地点及用途的不同,货币资金分为库存现金、银行存款及其他货币资金。(        )</w:t>
      </w:r>
    </w:p>
    <w:p>
      <w:pPr>
        <w:widowControl/>
        <w:ind w:firstLine="420" w:firstLineChars="200"/>
        <w:jc w:val="left"/>
        <w:rPr>
          <w:rFonts w:hint="eastAsia" w:ascii="宋体" w:hAnsi="宋体" w:eastAsia="宋体" w:cs="宋体"/>
          <w:sz w:val="21"/>
          <w:szCs w:val="21"/>
        </w:rPr>
      </w:pPr>
      <w:r>
        <w:rPr>
          <w:rFonts w:hint="eastAsia" w:ascii="宋体" w:hAnsi="宋体" w:eastAsia="宋体" w:cs="宋体"/>
          <w:sz w:val="21"/>
          <w:szCs w:val="21"/>
        </w:rPr>
        <w:t>【答案】</w:t>
      </w:r>
      <w:r>
        <w:rPr>
          <w:rFonts w:hint="eastAsia" w:ascii="宋体" w:hAnsi="宋体" w:eastAsia="宋体" w:cs="宋体"/>
          <w:sz w:val="21"/>
          <w:szCs w:val="21"/>
          <w:lang w:val="en-US" w:eastAsia="zh-CN"/>
        </w:rPr>
        <w:t>正确</w:t>
      </w:r>
    </w:p>
    <w:p>
      <w:pPr>
        <w:numPr>
          <w:ilvl w:val="0"/>
          <w:numId w:val="1"/>
        </w:numPr>
        <w:ind w:firstLine="420"/>
        <w:rPr>
          <w:rFonts w:hint="eastAsia" w:ascii="宋体" w:hAnsi="宋体" w:eastAsia="宋体" w:cs="宋体"/>
          <w:sz w:val="21"/>
          <w:szCs w:val="21"/>
        </w:rPr>
      </w:pPr>
      <w:r>
        <w:rPr>
          <w:rFonts w:hint="eastAsia" w:ascii="宋体" w:hAnsi="宋体" w:eastAsia="宋体" w:cs="宋体"/>
          <w:sz w:val="21"/>
          <w:szCs w:val="21"/>
        </w:rPr>
        <w:t>在货币资金岗位分工控制中,不相容岗位相互分离与制约机制主要体现在出纳人员对货币资金的保管与会计员入账的分离。(        )</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错误</w:t>
      </w:r>
    </w:p>
    <w:p>
      <w:pPr>
        <w:ind w:firstLine="420"/>
        <w:rPr>
          <w:rFonts w:hint="eastAsia" w:ascii="宋体" w:hAnsi="宋体" w:eastAsia="宋体" w:cs="宋体"/>
          <w:sz w:val="21"/>
          <w:szCs w:val="21"/>
        </w:rPr>
      </w:pPr>
      <w:r>
        <w:rPr>
          <w:rFonts w:hint="eastAsia" w:ascii="宋体" w:hAnsi="宋体" w:eastAsia="宋体" w:cs="宋体"/>
          <w:sz w:val="21"/>
          <w:szCs w:val="21"/>
        </w:rPr>
        <w:t>【解析】不相容岗位相互分离与制约机制体现在出纳人员对货币资金的保管与会计员入账的分离、稽查人员与会计员分离、银行对账员与清查人员的岗位分离等。</w:t>
      </w:r>
    </w:p>
    <w:p>
      <w:pPr>
        <w:widowControl/>
        <w:numPr>
          <w:ilvl w:val="0"/>
          <w:numId w:val="1"/>
        </w:numPr>
        <w:ind w:left="0" w:leftChars="0" w:firstLine="420" w:firstLineChars="0"/>
        <w:jc w:val="left"/>
        <w:rPr>
          <w:rFonts w:hint="eastAsia" w:ascii="宋体" w:hAnsi="宋体" w:eastAsia="宋体" w:cs="宋体"/>
          <w:sz w:val="21"/>
          <w:szCs w:val="21"/>
        </w:rPr>
      </w:pPr>
      <w:r>
        <w:rPr>
          <w:rFonts w:hint="eastAsia" w:ascii="宋体" w:hAnsi="宋体" w:eastAsia="宋体" w:cs="宋体"/>
          <w:sz w:val="21"/>
          <w:szCs w:val="21"/>
        </w:rPr>
        <w:t>如果被审计单位的现金交易比例较高，注册会计师可以考虑在了解和评价被审计单位现金交易内部控制的基础上，针对相关控制运行的有效性获取充分、适当的审计证据。(        )</w:t>
      </w:r>
    </w:p>
    <w:p>
      <w:pPr>
        <w:widowControl/>
        <w:numPr>
          <w:ilvl w:val="0"/>
          <w:numId w:val="0"/>
        </w:numPr>
        <w:ind w:left="420" w:leftChars="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正确</w:t>
      </w:r>
    </w:p>
    <w:p>
      <w:pPr>
        <w:numPr>
          <w:ilvl w:val="0"/>
          <w:numId w:val="0"/>
        </w:numPr>
        <w:ind w:left="420" w:leftChars="0"/>
        <w:rPr>
          <w:rFonts w:hint="eastAsia" w:ascii="宋体" w:hAnsi="宋体" w:eastAsia="宋体" w:cs="宋体"/>
          <w:sz w:val="21"/>
          <w:szCs w:val="21"/>
        </w:rPr>
      </w:pPr>
    </w:p>
    <w:p>
      <w:pPr>
        <w:numPr>
          <w:ilvl w:val="0"/>
          <w:numId w:val="0"/>
        </w:numPr>
        <w:ind w:left="420" w:leftChars="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注册会计师测试现金余额时，只需要核对库存现金日记账与总账的金额是否相符。(        )</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错误</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【解析】还需要检查非记账本位币库存现金的折算汇率及折算金额是否正确。</w:t>
      </w:r>
    </w:p>
    <w:p>
      <w:pPr>
        <w:numPr>
          <w:ilvl w:val="0"/>
          <w:numId w:val="0"/>
        </w:numPr>
        <w:ind w:left="420" w:leftChars="0"/>
        <w:rPr>
          <w:rFonts w:hint="eastAsia" w:ascii="宋体" w:hAnsi="宋体" w:eastAsia="宋体" w:cs="宋体"/>
          <w:sz w:val="21"/>
          <w:szCs w:val="21"/>
        </w:rPr>
      </w:pPr>
    </w:p>
    <w:p>
      <w:pPr>
        <w:numPr>
          <w:ilvl w:val="0"/>
          <w:numId w:val="0"/>
        </w:numPr>
        <w:ind w:left="420" w:leftChars="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银行存款是指企业存放在银行或其他金融机构的各种款项。按照国家有关规定,独立核算的企业都必须开设银行账户，但不限于在当地开设。(        )</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错误</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【解析】按照国家有关规定,凡是独立核算的企业都必须在当地银行开设账户</w:t>
      </w:r>
    </w:p>
    <w:p>
      <w:pPr>
        <w:numPr>
          <w:ilvl w:val="0"/>
          <w:numId w:val="0"/>
        </w:numPr>
        <w:ind w:left="420" w:leftChars="0"/>
        <w:rPr>
          <w:rFonts w:hint="eastAsia" w:ascii="宋体" w:hAnsi="宋体" w:eastAsia="宋体" w:cs="宋体"/>
          <w:sz w:val="21"/>
          <w:szCs w:val="21"/>
        </w:rPr>
      </w:pPr>
    </w:p>
    <w:p>
      <w:pPr>
        <w:widowControl/>
        <w:numPr>
          <w:ilvl w:val="0"/>
          <w:numId w:val="0"/>
        </w:numPr>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对已质押的定期存款,应检查定期存单,并与相应的质押合同核对,同时关注定期存单对应的质押借款有无入账。对未质押的定期存款,应检查开户证书原件。(        )</w:t>
      </w:r>
    </w:p>
    <w:p>
      <w:pPr>
        <w:widowControl/>
        <w:ind w:firstLine="420" w:firstLineChars="200"/>
        <w:jc w:val="left"/>
        <w:rPr>
          <w:rFonts w:hint="eastAsia" w:ascii="宋体" w:hAnsi="宋体" w:eastAsia="宋体" w:cs="宋体"/>
          <w:sz w:val="21"/>
          <w:szCs w:val="21"/>
        </w:rPr>
      </w:pPr>
      <w:r>
        <w:rPr>
          <w:rFonts w:hint="eastAsia" w:ascii="宋体" w:hAnsi="宋体" w:eastAsia="宋体" w:cs="宋体"/>
          <w:sz w:val="21"/>
          <w:szCs w:val="21"/>
        </w:rPr>
        <w:t>【答案】</w:t>
      </w:r>
      <w:r>
        <w:rPr>
          <w:rFonts w:hint="eastAsia" w:ascii="宋体" w:hAnsi="宋体" w:eastAsia="宋体" w:cs="宋体"/>
          <w:sz w:val="21"/>
          <w:szCs w:val="21"/>
          <w:lang w:val="en-US" w:eastAsia="zh-CN"/>
        </w:rPr>
        <w:t>正确</w:t>
      </w:r>
    </w:p>
    <w:p>
      <w:pPr>
        <w:numPr>
          <w:ilvl w:val="0"/>
          <w:numId w:val="0"/>
        </w:numPr>
        <w:ind w:left="420" w:leftChars="0"/>
        <w:rPr>
          <w:rFonts w:hint="eastAsia" w:ascii="宋体" w:hAnsi="宋体" w:eastAsia="宋体" w:cs="宋体"/>
          <w:sz w:val="21"/>
          <w:szCs w:val="21"/>
        </w:rPr>
      </w:pPr>
    </w:p>
    <w:p>
      <w:pPr>
        <w:numPr>
          <w:ilvl w:val="0"/>
          <w:numId w:val="0"/>
        </w:numPr>
        <w:ind w:left="420" w:leftChars="0"/>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其他货币资金仅指企业到外地进行临时或零星采购而汇往采购地银行开立采购专户的款项所形成的外埠存款、信用卡存款和信用证保证金存款。(        )</w:t>
      </w:r>
    </w:p>
    <w:p>
      <w:pPr>
        <w:widowControl/>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rPr>
        <w:t>【答案】</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其他货币资金包括企业到外地进行临时或零星采购而汇往采购地银行开立采购专户的款项所形成的外埠存款、企业为取得银行汇票按照规定存入银行的款项所形成的银行汇票存款、企业为取得银行本票按照规定存入银行的款项所形成的银行本票存款、信用卡存款和信用证保证金存款等。</w:t>
      </w:r>
    </w:p>
    <w:p>
      <w:pPr>
        <w:numPr>
          <w:ilvl w:val="0"/>
          <w:numId w:val="0"/>
        </w:numPr>
        <w:ind w:left="420" w:leftChars="0"/>
        <w:rPr>
          <w:rFonts w:hint="eastAsia" w:ascii="宋体" w:hAnsi="宋体" w:eastAsia="宋体" w:cs="宋体"/>
          <w:sz w:val="21"/>
          <w:szCs w:val="21"/>
        </w:rPr>
      </w:pPr>
      <w:bookmarkStart w:id="62" w:name="_GoBack"/>
      <w:bookmarkEnd w:id="62"/>
    </w:p>
    <w:p>
      <w:pPr>
        <w:ind w:firstLine="420"/>
        <w:rPr>
          <w:rFonts w:hint="eastAsia" w:ascii="宋体" w:hAnsi="宋体" w:eastAsia="宋体" w:cs="宋体"/>
          <w:sz w:val="21"/>
          <w:szCs w:val="21"/>
        </w:rPr>
      </w:pPr>
      <w:r>
        <w:rPr>
          <w:rFonts w:hint="eastAsia" w:ascii="宋体" w:hAnsi="宋体" w:eastAsia="宋体" w:cs="宋体"/>
          <w:sz w:val="21"/>
          <w:szCs w:val="21"/>
        </w:rPr>
        <w:t>8. 对不符合现金及现金等价物条件的其他货币资金，需要在审计工作底稿中予以列明。(        )</w:t>
      </w:r>
    </w:p>
    <w:p>
      <w:pPr>
        <w:widowControl/>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【答案】</w:t>
      </w:r>
      <w:r>
        <w:rPr>
          <w:rFonts w:hint="eastAsia" w:ascii="宋体" w:hAnsi="宋体" w:eastAsia="宋体" w:cs="宋体"/>
          <w:sz w:val="21"/>
          <w:szCs w:val="21"/>
          <w:lang w:val="en-US" w:eastAsia="zh-CN"/>
        </w:rPr>
        <w:t>正确</w:t>
      </w:r>
    </w:p>
    <w:p>
      <w:pPr>
        <w:ind w:firstLine="420"/>
        <w:rPr>
          <w:rFonts w:hint="eastAsia" w:ascii="宋体" w:hAnsi="宋体" w:eastAsia="宋体" w:cs="宋体"/>
          <w:sz w:val="21"/>
          <w:szCs w:val="21"/>
        </w:rPr>
      </w:pPr>
    </w:p>
    <w:p>
      <w:pPr>
        <w:pStyle w:val="12"/>
        <w:spacing w:line="360" w:lineRule="exact"/>
        <w:jc w:val="center"/>
        <w:rPr>
          <w:rFonts w:hint="eastAsia" w:ascii="宋体" w:hAnsi="宋体" w:eastAsia="宋体" w:cs="宋体"/>
          <w:sz w:val="21"/>
          <w:szCs w:val="21"/>
        </w:rPr>
      </w:pPr>
      <w:r>
        <w:rPr>
          <w:rFonts w:hint="eastAsia" w:ascii="宋体" w:hAnsi="宋体" w:eastAsia="宋体" w:cs="宋体"/>
          <w:sz w:val="21"/>
          <w:szCs w:val="21"/>
        </w:rPr>
        <w:t>四、案例分析题</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甲公司是ABC会计师事务所的常年审计客户，A注册会计师负责审计甲公司2021年度财务报表，确定财务报表整体的重要性为300万元，与货币资金相关的部分事项如下：</w:t>
      </w:r>
    </w:p>
    <w:p>
      <w:pPr>
        <w:rPr>
          <w:rFonts w:hint="eastAsia" w:ascii="宋体" w:hAnsi="宋体" w:eastAsia="宋体" w:cs="宋体"/>
          <w:sz w:val="21"/>
          <w:szCs w:val="21"/>
        </w:rPr>
      </w:pPr>
      <w:bookmarkStart w:id="58" w:name="bookmark1645"/>
      <w:bookmarkEnd w:id="58"/>
      <w:r>
        <w:rPr>
          <w:rFonts w:hint="eastAsia" w:ascii="宋体" w:hAnsi="宋体" w:eastAsia="宋体" w:cs="宋体"/>
          <w:sz w:val="21"/>
          <w:szCs w:val="21"/>
        </w:rPr>
        <w:t>（1）A注册会计师实施实质性分析程序后发现，甲公司2021年度账面记录的银行存款利息收入明显少于预期值，经调查系年内向关联方借出资金、甲公司账面未作记录所致，因借出资金已于年末收回，不影响银行存款余额，A注册会计师认为不存在错报。</w:t>
      </w:r>
    </w:p>
    <w:p>
      <w:pPr>
        <w:rPr>
          <w:rFonts w:hint="eastAsia" w:ascii="宋体" w:hAnsi="宋体" w:eastAsia="宋体" w:cs="宋体"/>
          <w:sz w:val="21"/>
          <w:szCs w:val="21"/>
        </w:rPr>
      </w:pPr>
      <w:bookmarkStart w:id="59" w:name="bookmark1646"/>
      <w:r>
        <w:rPr>
          <w:rFonts w:hint="eastAsia" w:ascii="宋体" w:hAnsi="宋体" w:eastAsia="宋体" w:cs="宋体"/>
          <w:sz w:val="21"/>
          <w:szCs w:val="21"/>
        </w:rPr>
        <w:t>（</w:t>
      </w:r>
      <w:bookmarkEnd w:id="59"/>
      <w:r>
        <w:rPr>
          <w:rFonts w:hint="eastAsia" w:ascii="宋体" w:hAnsi="宋体" w:eastAsia="宋体" w:cs="宋体"/>
          <w:sz w:val="21"/>
          <w:szCs w:val="21"/>
        </w:rPr>
        <w:t>2）甲公司与其子公司乙银行签订的集团现金管理账户协议约定，乙银行账户余额超过500万元的部分自动拨入甲公司银行账户。A注册会计师检查了相关协议，并通过函证向乙银行确认了资金归集账户的具体信息，结果满意。</w:t>
      </w:r>
    </w:p>
    <w:p>
      <w:pPr>
        <w:rPr>
          <w:rFonts w:hint="eastAsia" w:ascii="宋体" w:hAnsi="宋体" w:eastAsia="宋体" w:cs="宋体"/>
          <w:sz w:val="21"/>
          <w:szCs w:val="21"/>
        </w:rPr>
      </w:pPr>
      <w:bookmarkStart w:id="60" w:name="bookmark1647"/>
      <w:r>
        <w:rPr>
          <w:rFonts w:hint="eastAsia" w:ascii="宋体" w:hAnsi="宋体" w:eastAsia="宋体" w:cs="宋体"/>
          <w:sz w:val="21"/>
          <w:szCs w:val="21"/>
        </w:rPr>
        <w:t>（</w:t>
      </w:r>
      <w:bookmarkEnd w:id="60"/>
      <w:r>
        <w:rPr>
          <w:rFonts w:hint="eastAsia" w:ascii="宋体" w:hAnsi="宋体" w:eastAsia="宋体" w:cs="宋体"/>
          <w:sz w:val="21"/>
          <w:szCs w:val="21"/>
        </w:rPr>
        <w:t>3）为验证银行对账单的真实性，A注册会计师要求甲公司财务人员提供相关的网银记录截屏，将网银截屏信息与银行对账单信息进行核对，结果满意。</w:t>
      </w:r>
    </w:p>
    <w:p>
      <w:pPr>
        <w:rPr>
          <w:rFonts w:hint="eastAsia" w:ascii="宋体" w:hAnsi="宋体" w:eastAsia="宋体" w:cs="宋体"/>
          <w:sz w:val="21"/>
          <w:szCs w:val="21"/>
        </w:rPr>
      </w:pPr>
      <w:bookmarkStart w:id="61" w:name="bookmark1648"/>
      <w:r>
        <w:rPr>
          <w:rFonts w:hint="eastAsia" w:ascii="宋体" w:hAnsi="宋体" w:eastAsia="宋体" w:cs="宋体"/>
          <w:sz w:val="21"/>
          <w:szCs w:val="21"/>
        </w:rPr>
        <w:t>（</w:t>
      </w:r>
      <w:bookmarkEnd w:id="61"/>
      <w:r>
        <w:rPr>
          <w:rFonts w:hint="eastAsia" w:ascii="宋体" w:hAnsi="宋体" w:eastAsia="宋体" w:cs="宋体"/>
          <w:sz w:val="21"/>
          <w:szCs w:val="21"/>
        </w:rPr>
        <w:t>4）在测试银行存款余额调节表时，A注册会计师针对企付银未付和企收银未收调节事顶，分别检査了相关的付款和收款原始凭证，据此确认了调节事项的适当性。</w:t>
      </w:r>
    </w:p>
    <w:p>
      <w:pPr>
        <w:rPr>
          <w:rFonts w:hint="eastAsia" w:ascii="宋体" w:hAnsi="宋体" w:eastAsia="宋体" w:cs="宋体"/>
          <w:sz w:val="21"/>
          <w:szCs w:val="21"/>
        </w:rPr>
      </w:pPr>
      <w:r>
        <w:rPr>
          <w:rFonts w:hint="eastAsia" w:ascii="宋体" w:hAnsi="宋体" w:eastAsia="宋体" w:cs="宋体"/>
          <w:sz w:val="21"/>
          <w:szCs w:val="21"/>
        </w:rPr>
        <w:t>要求：针对上述第（1）至（4）项，逐项指出A注册会计师的做法是否恰当。如不恰当，简要说明理由。</w:t>
      </w:r>
    </w:p>
    <w:p>
      <w:pPr>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【答案】（1）不恰当。借出资金未记录，存在舞弊风险。</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（2）不恰当。存在集团占用子公司资金的嫌疑，存在舞弊风险，检査协议和函证不能提供可靠的审计证据。</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（3）不恰当。应当实施审计程序确定网银记录截屏的真实性，可以实地观察被审计单位登录网银系统査询银行账户信息，并将查询记录截屏与银行对账单信息进行核对。</w:t>
      </w:r>
    </w:p>
    <w:p>
      <w:pPr>
        <w:widowControl/>
        <w:ind w:firstLine="420" w:firstLineChars="200"/>
        <w:jc w:val="left"/>
        <w:rPr>
          <w:rFonts w:hint="eastAsia" w:ascii="宋体" w:hAnsi="宋体" w:eastAsia="宋体" w:cs="宋体"/>
          <w:sz w:val="21"/>
          <w:szCs w:val="21"/>
        </w:rPr>
      </w:pPr>
      <w:r>
        <w:rPr>
          <w:rFonts w:hint="eastAsia" w:ascii="宋体" w:hAnsi="宋体" w:eastAsia="宋体" w:cs="宋体"/>
          <w:sz w:val="21"/>
          <w:szCs w:val="21"/>
        </w:rPr>
        <w:t>（4）不恰当。对于企付银未付、企收银未收款项，应检查被审计单位付款和收款的原始凭证，并与期后对账单进行核对。</w:t>
      </w: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lang w:eastAsia="zh-TW"/>
        </w:rPr>
      </w:pPr>
    </w:p>
    <w:sectPr>
      <w:headerReference r:id="rId5" w:type="default"/>
      <w:footerReference r:id="rId7" w:type="default"/>
      <w:headerReference r:id="rId6" w:type="even"/>
      <w:footerReference r:id="rId8"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mc:AlternateContent>
        <mc:Choice Requires="wps">
          <w:drawing>
            <wp:anchor distT="0" distB="0" distL="0" distR="0" simplePos="0" relativeHeight="251659264" behindDoc="1" locked="0" layoutInCell="1" allowOverlap="1">
              <wp:simplePos x="0" y="0"/>
              <wp:positionH relativeFrom="page">
                <wp:posOffset>637540</wp:posOffset>
              </wp:positionH>
              <wp:positionV relativeFrom="page">
                <wp:posOffset>8908415</wp:posOffset>
              </wp:positionV>
              <wp:extent cx="121920" cy="91440"/>
              <wp:effectExtent l="0" t="0" r="0" b="0"/>
              <wp:wrapNone/>
              <wp:docPr id="651" name="Shape 651"/>
              <wp:cNvGraphicFramePr/>
              <a:graphic xmlns:a="http://schemas.openxmlformats.org/drawingml/2006/main">
                <a:graphicData uri="http://schemas.microsoft.com/office/word/2010/wordprocessingShape">
                  <wps:wsp>
                    <wps:cNvSpPr txBox="1"/>
                    <wps:spPr>
                      <a:xfrm>
                        <a:off x="0" y="0"/>
                        <a:ext cx="121920" cy="91440"/>
                      </a:xfrm>
                      <a:prstGeom prst="rect">
                        <a:avLst/>
                      </a:prstGeom>
                      <a:noFill/>
                    </wps:spPr>
                    <wps:txbx>
                      <w:txbxContent>
                        <w:p>
                          <w:pPr>
                            <w:pStyle w:val="20"/>
                          </w:pPr>
                          <w:r>
                            <w:rPr>
                              <w:color w:val="000000"/>
                              <w:lang w:val="zh-TW" w:eastAsia="zh-TW" w:bidi="zh-TW"/>
                            </w:rPr>
                            <w:fldChar w:fldCharType="begin"/>
                          </w:r>
                          <w:r>
                            <w:rPr>
                              <w:color w:val="000000"/>
                              <w:lang w:val="zh-TW" w:eastAsia="zh-TW" w:bidi="zh-TW"/>
                            </w:rPr>
                            <w:instrText xml:space="preserve"> PAGE \* MERGEFORMAT </w:instrText>
                          </w:r>
                          <w:r>
                            <w:rPr>
                              <w:color w:val="000000"/>
                              <w:lang w:val="zh-TW" w:eastAsia="zh-TW" w:bidi="zh-TW"/>
                            </w:rPr>
                            <w:fldChar w:fldCharType="separate"/>
                          </w:r>
                          <w:r>
                            <w:rPr>
                              <w:color w:val="000000"/>
                              <w:lang w:val="zh-TW" w:eastAsia="zh-TW" w:bidi="zh-TW"/>
                            </w:rPr>
                            <w:t>4</w:t>
                          </w:r>
                          <w:r>
                            <w:rPr>
                              <w:color w:val="000000"/>
                              <w:lang w:val="zh-TW" w:eastAsia="zh-TW" w:bidi="zh-TW"/>
                            </w:rPr>
                            <w:fldChar w:fldCharType="end"/>
                          </w:r>
                        </w:p>
                      </w:txbxContent>
                    </wps:txbx>
                    <wps:bodyPr wrap="none" lIns="0" tIns="0" rIns="0" bIns="0">
                      <a:spAutoFit/>
                    </wps:bodyPr>
                  </wps:wsp>
                </a:graphicData>
              </a:graphic>
            </wp:anchor>
          </w:drawing>
        </mc:Choice>
        <mc:Fallback>
          <w:pict>
            <v:shape id="Shape 651" o:spid="_x0000_s1026" o:spt="202" type="#_x0000_t202" style="position:absolute;left:0pt;margin-left:50.2pt;margin-top:701.45pt;height:7.2pt;width:9.6pt;mso-position-horizontal-relative:page;mso-position-vertical-relative:page;mso-wrap-style:none;z-index:-251657216;mso-width-relative:page;mso-height-relative:page;" filled="f" stroked="f" coordsize="21600,21600" o:gfxdata="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2Fs4l9cA&#10;AAANAQAADwAAAAAAAAABACAAAAAiAAAAZHJzL2Rvd25yZXYueG1sUEsBAhQAFAAAAAgAh07iQIbL&#10;o52uAQAAcgMAAA4AAAAAAAAAAQAgAAAAJgEAAGRycy9lMm9Eb2MueG1sUEsFBgAAAAAGAAYAWQEA&#10;AEYFAAAAAA==&#10;">
              <v:fill on="f" focussize="0,0"/>
              <v:stroke on="f"/>
              <v:imagedata o:title=""/>
              <o:lock v:ext="edit" aspectratio="f"/>
              <v:textbox inset="0mm,0mm,0mm,0mm" style="mso-fit-shape-to-text:t;">
                <w:txbxContent>
                  <w:p>
                    <w:pPr>
                      <w:pStyle w:val="20"/>
                    </w:pPr>
                    <w:r>
                      <w:rPr>
                        <w:color w:val="000000"/>
                        <w:lang w:val="zh-TW" w:eastAsia="zh-TW" w:bidi="zh-TW"/>
                      </w:rPr>
                      <w:fldChar w:fldCharType="begin"/>
                    </w:r>
                    <w:r>
                      <w:rPr>
                        <w:color w:val="000000"/>
                        <w:lang w:val="zh-TW" w:eastAsia="zh-TW" w:bidi="zh-TW"/>
                      </w:rPr>
                      <w:instrText xml:space="preserve"> PAGE \* MERGEFORMAT </w:instrText>
                    </w:r>
                    <w:r>
                      <w:rPr>
                        <w:color w:val="000000"/>
                        <w:lang w:val="zh-TW" w:eastAsia="zh-TW" w:bidi="zh-TW"/>
                      </w:rPr>
                      <w:fldChar w:fldCharType="separate"/>
                    </w:r>
                    <w:r>
                      <w:rPr>
                        <w:color w:val="000000"/>
                        <w:lang w:val="zh-TW" w:eastAsia="zh-TW" w:bidi="zh-TW"/>
                      </w:rPr>
                      <w:t>4</w:t>
                    </w:r>
                    <w:r>
                      <w:rPr>
                        <w:color w:val="000000"/>
                        <w:lang w:val="zh-TW" w:eastAsia="zh-TW" w:bidi="zh-TW"/>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mc:AlternateContent>
        <mc:Choice Requires="wps">
          <w:drawing>
            <wp:anchor distT="0" distB="0" distL="0" distR="0" simplePos="0" relativeHeight="251661312" behindDoc="1" locked="0" layoutInCell="1" allowOverlap="1">
              <wp:simplePos x="0" y="0"/>
              <wp:positionH relativeFrom="page">
                <wp:posOffset>637540</wp:posOffset>
              </wp:positionH>
              <wp:positionV relativeFrom="page">
                <wp:posOffset>8908415</wp:posOffset>
              </wp:positionV>
              <wp:extent cx="121920" cy="91440"/>
              <wp:effectExtent l="0" t="0" r="0" b="0"/>
              <wp:wrapNone/>
              <wp:docPr id="657" name="Shape 657"/>
              <wp:cNvGraphicFramePr/>
              <a:graphic xmlns:a="http://schemas.openxmlformats.org/drawingml/2006/main">
                <a:graphicData uri="http://schemas.microsoft.com/office/word/2010/wordprocessingShape">
                  <wps:wsp>
                    <wps:cNvSpPr txBox="1"/>
                    <wps:spPr>
                      <a:xfrm>
                        <a:off x="0" y="0"/>
                        <a:ext cx="121920" cy="91440"/>
                      </a:xfrm>
                      <a:prstGeom prst="rect">
                        <a:avLst/>
                      </a:prstGeom>
                      <a:noFill/>
                    </wps:spPr>
                    <wps:txbx>
                      <w:txbxContent>
                        <w:p>
                          <w:pPr>
                            <w:pStyle w:val="20"/>
                          </w:pPr>
                          <w:r>
                            <w:rPr>
                              <w:color w:val="000000"/>
                              <w:lang w:val="zh-TW" w:eastAsia="zh-TW" w:bidi="zh-TW"/>
                            </w:rPr>
                            <w:fldChar w:fldCharType="begin"/>
                          </w:r>
                          <w:r>
                            <w:rPr>
                              <w:color w:val="000000"/>
                              <w:lang w:val="zh-TW" w:eastAsia="zh-TW" w:bidi="zh-TW"/>
                            </w:rPr>
                            <w:instrText xml:space="preserve"> PAGE \* MERGEFORMAT </w:instrText>
                          </w:r>
                          <w:r>
                            <w:rPr>
                              <w:color w:val="000000"/>
                              <w:lang w:val="zh-TW" w:eastAsia="zh-TW" w:bidi="zh-TW"/>
                            </w:rPr>
                            <w:fldChar w:fldCharType="separate"/>
                          </w:r>
                          <w:r>
                            <w:rPr>
                              <w:color w:val="000000"/>
                              <w:lang w:val="zh-TW" w:eastAsia="zh-TW" w:bidi="zh-TW"/>
                            </w:rPr>
                            <w:t>#</w:t>
                          </w:r>
                          <w:r>
                            <w:rPr>
                              <w:color w:val="000000"/>
                              <w:lang w:val="zh-TW" w:eastAsia="zh-TW" w:bidi="zh-TW"/>
                            </w:rPr>
                            <w:fldChar w:fldCharType="end"/>
                          </w:r>
                        </w:p>
                      </w:txbxContent>
                    </wps:txbx>
                    <wps:bodyPr wrap="none" lIns="0" tIns="0" rIns="0" bIns="0">
                      <a:spAutoFit/>
                    </wps:bodyPr>
                  </wps:wsp>
                </a:graphicData>
              </a:graphic>
            </wp:anchor>
          </w:drawing>
        </mc:Choice>
        <mc:Fallback>
          <w:pict>
            <v:shape id="Shape 657" o:spid="_x0000_s1026" o:spt="202" type="#_x0000_t202" style="position:absolute;left:0pt;margin-left:50.2pt;margin-top:701.45pt;height:7.2pt;width:9.6pt;mso-position-horizontal-relative:page;mso-position-vertical-relative:page;mso-wrap-style:none;z-index:-251655168;mso-width-relative:page;mso-height-relative:page;" filled="f" stroked="f" coordsize="21600,21600" o:gfxdata="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2Fs4l9cA&#10;AAANAQAADwAAAAAAAAABACAAAAAiAAAAZHJzL2Rvd25yZXYueG1sUEsBAhQAFAAAAAgAh07iQNZA&#10;Pf+uAQAAcgMAAA4AAAAAAAAAAQAgAAAAJgEAAGRycy9lMm9Eb2MueG1sUEsFBgAAAAAGAAYAWQEA&#10;AEYFAAAAAA==&#10;">
              <v:fill on="f" focussize="0,0"/>
              <v:stroke on="f"/>
              <v:imagedata o:title=""/>
              <o:lock v:ext="edit" aspectratio="f"/>
              <v:textbox inset="0mm,0mm,0mm,0mm" style="mso-fit-shape-to-text:t;">
                <w:txbxContent>
                  <w:p>
                    <w:pPr>
                      <w:pStyle w:val="20"/>
                    </w:pPr>
                    <w:r>
                      <w:rPr>
                        <w:color w:val="000000"/>
                        <w:lang w:val="zh-TW" w:eastAsia="zh-TW" w:bidi="zh-TW"/>
                      </w:rPr>
                      <w:fldChar w:fldCharType="begin"/>
                    </w:r>
                    <w:r>
                      <w:rPr>
                        <w:color w:val="000000"/>
                        <w:lang w:val="zh-TW" w:eastAsia="zh-TW" w:bidi="zh-TW"/>
                      </w:rPr>
                      <w:instrText xml:space="preserve"> PAGE \* MERGEFORMAT </w:instrText>
                    </w:r>
                    <w:r>
                      <w:rPr>
                        <w:color w:val="000000"/>
                        <w:lang w:val="zh-TW" w:eastAsia="zh-TW" w:bidi="zh-TW"/>
                      </w:rPr>
                      <w:fldChar w:fldCharType="separate"/>
                    </w:r>
                    <w:r>
                      <w:rPr>
                        <w:color w:val="000000"/>
                        <w:lang w:val="zh-TW" w:eastAsia="zh-TW" w:bidi="zh-TW"/>
                      </w:rPr>
                      <w:t>#</w:t>
                    </w:r>
                    <w:r>
                      <w:rPr>
                        <w:color w:val="000000"/>
                        <w:lang w:val="zh-TW" w:eastAsia="zh-TW" w:bidi="zh-TW"/>
                      </w:rPr>
                      <w:fldChar w:fldCharType="end"/>
                    </w:r>
                  </w:p>
                </w:txbxContent>
              </v:textbox>
            </v:shape>
          </w:pict>
        </mc:Fallback>
      </mc:AlternateContent>
    </w:r>
    <w:r>
      <mc:AlternateContent>
        <mc:Choice Requires="wps">
          <w:drawing>
            <wp:anchor distT="0" distB="0" distL="0" distR="0" simplePos="0" relativeHeight="251662336" behindDoc="1" locked="0" layoutInCell="1" allowOverlap="1">
              <wp:simplePos x="0" y="0"/>
              <wp:positionH relativeFrom="page">
                <wp:posOffset>2418080</wp:posOffset>
              </wp:positionH>
              <wp:positionV relativeFrom="page">
                <wp:posOffset>9039860</wp:posOffset>
              </wp:positionV>
              <wp:extent cx="1383665" cy="113030"/>
              <wp:effectExtent l="0" t="0" r="0" b="0"/>
              <wp:wrapNone/>
              <wp:docPr id="659" name="Shape 659"/>
              <wp:cNvGraphicFramePr/>
              <a:graphic xmlns:a="http://schemas.openxmlformats.org/drawingml/2006/main">
                <a:graphicData uri="http://schemas.microsoft.com/office/word/2010/wordprocessingShape">
                  <wps:wsp>
                    <wps:cNvSpPr txBox="1"/>
                    <wps:spPr>
                      <a:xfrm>
                        <a:off x="0" y="0"/>
                        <a:ext cx="1383665" cy="113030"/>
                      </a:xfrm>
                      <a:prstGeom prst="rect">
                        <a:avLst/>
                      </a:prstGeom>
                      <a:noFill/>
                    </wps:spPr>
                    <wps:txbx>
                      <w:txbxContent>
                        <w:p>
                          <w:pPr>
                            <w:pStyle w:val="20"/>
                          </w:pPr>
                          <w:r>
                            <w:rPr>
                              <w:rFonts w:ascii="宋体" w:hAnsi="宋体" w:eastAsia="宋体" w:cs="宋体"/>
                              <w:b w:val="0"/>
                              <w:bCs w:val="0"/>
                              <w:lang w:val="zh-TW" w:eastAsia="zh-TW" w:bidi="zh-TW"/>
                            </w:rPr>
                            <w:t>买新</w:t>
                          </w:r>
                          <w:r>
                            <w:t>i</w:t>
                          </w:r>
                          <w:r>
                            <w:rPr>
                              <w:rFonts w:ascii="宋体" w:hAnsi="宋体" w:eastAsia="宋体" w:cs="宋体"/>
                              <w:b w:val="0"/>
                              <w:bCs w:val="0"/>
                              <w:lang w:val="zh-TW" w:eastAsia="zh-TW" w:bidi="zh-TW"/>
                            </w:rPr>
                            <w:t>果加</w:t>
                          </w:r>
                          <w:r>
                            <w:t>VX:1005062021</w:t>
                          </w:r>
                        </w:p>
                      </w:txbxContent>
                    </wps:txbx>
                    <wps:bodyPr wrap="none" lIns="0" tIns="0" rIns="0" bIns="0">
                      <a:spAutoFit/>
                    </wps:bodyPr>
                  </wps:wsp>
                </a:graphicData>
              </a:graphic>
            </wp:anchor>
          </w:drawing>
        </mc:Choice>
        <mc:Fallback>
          <w:pict>
            <v:shape id="Shape 659" o:spid="_x0000_s1026" o:spt="202" type="#_x0000_t202" style="position:absolute;left:0pt;margin-left:190.4pt;margin-top:711.8pt;height:8.9pt;width:108.95pt;mso-position-horizontal-relative:page;mso-position-vertical-relative:page;mso-wrap-style:none;z-index:-251654144;mso-width-relative:page;mso-height-relative:page;" filled="f" stroked="f" coordsize="21600,21600" o:gfxdata="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lq&#10;B5LZAAAADQEAAA8AAAAAAAAAAQAgAAAAIgAAAGRycy9kb3ducmV2LnhtbFBLAQIUABQAAAAIAIdO&#10;4kAaIsXYsAEAAHQDAAAOAAAAAAAAAAEAIAAAACgBAABkcnMvZTJvRG9jLnhtbFBLBQYAAAAABgAG&#10;AFkBAABKBQAAAAA=&#10;">
              <v:fill on="f" focussize="0,0"/>
              <v:stroke on="f"/>
              <v:imagedata o:title=""/>
              <o:lock v:ext="edit" aspectratio="f"/>
              <v:textbox inset="0mm,0mm,0mm,0mm" style="mso-fit-shape-to-text:t;">
                <w:txbxContent>
                  <w:p>
                    <w:pPr>
                      <w:pStyle w:val="20"/>
                    </w:pPr>
                    <w:r>
                      <w:rPr>
                        <w:rFonts w:ascii="宋体" w:hAnsi="宋体" w:eastAsia="宋体" w:cs="宋体"/>
                        <w:b w:val="0"/>
                        <w:bCs w:val="0"/>
                        <w:lang w:val="zh-TW" w:eastAsia="zh-TW" w:bidi="zh-TW"/>
                      </w:rPr>
                      <w:t>买新</w:t>
                    </w:r>
                    <w:r>
                      <w:t>i</w:t>
                    </w:r>
                    <w:r>
                      <w:rPr>
                        <w:rFonts w:ascii="宋体" w:hAnsi="宋体" w:eastAsia="宋体" w:cs="宋体"/>
                        <w:b w:val="0"/>
                        <w:bCs w:val="0"/>
                        <w:lang w:val="zh-TW" w:eastAsia="zh-TW" w:bidi="zh-TW"/>
                      </w:rPr>
                      <w:t>果加</w:t>
                    </w:r>
                    <w:r>
                      <w:t>VX:1005062021</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eastAsia="方正书宋_GBK"/>
        <w:lang w:val="en-US" w:eastAsia="zh-CN"/>
      </w:rPr>
    </w:pPr>
    <w:r>
      <w:rPr>
        <w:rFonts w:hint="eastAsia"/>
      </w:rPr>
      <w:t>审计学                                                         第</w:t>
    </w:r>
    <w:r>
      <w:rPr>
        <w:rFonts w:hint="eastAsia"/>
        <w:lang w:val="en-US" w:eastAsia="zh-CN"/>
      </w:rPr>
      <w:t>十三</w:t>
    </w:r>
    <w:r>
      <w:rPr>
        <w:rFonts w:hint="eastAsia"/>
      </w:rPr>
      <w:t xml:space="preserve">章  </w:t>
    </w:r>
    <w:r>
      <w:rPr>
        <w:rFonts w:hint="eastAsia"/>
        <w:lang w:val="en-US" w:eastAsia="zh-CN"/>
      </w:rPr>
      <w:t>货币资金审计</w:t>
    </w:r>
  </w:p>
  <w:p>
    <w:pPr>
      <w:pBdr>
        <w:bottom w:val="single" w:color="auto" w:sz="4" w:space="0"/>
      </w:pBd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mc:AlternateContent>
        <mc:Choice Requires="wps">
          <w:drawing>
            <wp:anchor distT="0" distB="0" distL="0" distR="0" simplePos="0" relativeHeight="251660288" behindDoc="1" locked="0" layoutInCell="1" allowOverlap="1">
              <wp:simplePos x="0" y="0"/>
              <wp:positionH relativeFrom="page">
                <wp:posOffset>604520</wp:posOffset>
              </wp:positionH>
              <wp:positionV relativeFrom="page">
                <wp:posOffset>389255</wp:posOffset>
              </wp:positionV>
              <wp:extent cx="841375" cy="103505"/>
              <wp:effectExtent l="0" t="0" r="0" b="0"/>
              <wp:wrapNone/>
              <wp:docPr id="655" name="Shape 655"/>
              <wp:cNvGraphicFramePr/>
              <a:graphic xmlns:a="http://schemas.openxmlformats.org/drawingml/2006/main">
                <a:graphicData uri="http://schemas.microsoft.com/office/word/2010/wordprocessingShape">
                  <wps:wsp>
                    <wps:cNvSpPr txBox="1"/>
                    <wps:spPr>
                      <a:xfrm>
                        <a:off x="0" y="0"/>
                        <a:ext cx="841375" cy="103505"/>
                      </a:xfrm>
                      <a:prstGeom prst="rect">
                        <a:avLst/>
                      </a:prstGeom>
                      <a:noFill/>
                    </wps:spPr>
                    <wps:txbx>
                      <w:txbxContent>
                        <w:p>
                          <w:pPr>
                            <w:pStyle w:val="20"/>
                            <w:rPr>
                              <w:sz w:val="17"/>
                              <w:szCs w:val="17"/>
                            </w:rPr>
                          </w:pPr>
                          <w:r>
                            <w:rPr>
                              <w:rFonts w:ascii="宋体" w:hAnsi="宋体" w:eastAsia="宋体" w:cs="宋体"/>
                              <w:b w:val="0"/>
                              <w:bCs w:val="0"/>
                              <w:color w:val="484848"/>
                              <w:sz w:val="17"/>
                              <w:szCs w:val="17"/>
                              <w:lang w:val="zh-TW" w:eastAsia="zh-TW" w:bidi="zh-TW"/>
                            </w:rPr>
                            <w:t>參审计经典题解</w:t>
                          </w:r>
                        </w:p>
                      </w:txbxContent>
                    </wps:txbx>
                    <wps:bodyPr wrap="none" lIns="0" tIns="0" rIns="0" bIns="0">
                      <a:spAutoFit/>
                    </wps:bodyPr>
                  </wps:wsp>
                </a:graphicData>
              </a:graphic>
            </wp:anchor>
          </w:drawing>
        </mc:Choice>
        <mc:Fallback>
          <w:pict>
            <v:shape id="Shape 655" o:spid="_x0000_s1026" o:spt="202" type="#_x0000_t202" style="position:absolute;left:0pt;margin-left:47.6pt;margin-top:30.65pt;height:8.15pt;width:66.25pt;mso-position-horizontal-relative:page;mso-position-vertical-relative:page;mso-wrap-style:none;z-index:-251656192;mso-width-relative:page;mso-height-relative:page;" filled="f" stroked="f" coordsize="21600,21600" o:gfxdata="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wSrzf1QAA&#10;AAgBAAAPAAAAAAAAAAEAIAAAACIAAABkcnMvZG93bnJldi54bWxQSwECFAAUAAAACACHTuJA3HQt&#10;x68BAABzAwAADgAAAAAAAAABACAAAAAkAQAAZHJzL2Uyb0RvYy54bWxQSwUGAAAAAAYABgBZAQAA&#10;RQUAAAAA&#10;">
              <v:fill on="f" focussize="0,0"/>
              <v:stroke on="f"/>
              <v:imagedata o:title=""/>
              <o:lock v:ext="edit" aspectratio="f"/>
              <v:textbox inset="0mm,0mm,0mm,0mm" style="mso-fit-shape-to-text:t;">
                <w:txbxContent>
                  <w:p>
                    <w:pPr>
                      <w:pStyle w:val="20"/>
                      <w:rPr>
                        <w:sz w:val="17"/>
                        <w:szCs w:val="17"/>
                      </w:rPr>
                    </w:pPr>
                    <w:r>
                      <w:rPr>
                        <w:rFonts w:ascii="宋体" w:hAnsi="宋体" w:eastAsia="宋体" w:cs="宋体"/>
                        <w:b w:val="0"/>
                        <w:bCs w:val="0"/>
                        <w:color w:val="484848"/>
                        <w:sz w:val="17"/>
                        <w:szCs w:val="17"/>
                        <w:lang w:val="zh-TW" w:eastAsia="zh-TW" w:bidi="zh-TW"/>
                      </w:rPr>
                      <w:t>參审计经典题解</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83F66A"/>
    <w:multiLevelType w:val="singleLevel"/>
    <w:tmpl w:val="3883F66A"/>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YyZDFlZTlkMmJiYzc4ZjcxNjA2MDI3ZjU4NGZhYmYifQ=="/>
  </w:docVars>
  <w:rsids>
    <w:rsidRoot w:val="00910957"/>
    <w:rsid w:val="00063C86"/>
    <w:rsid w:val="000B109B"/>
    <w:rsid w:val="000C3A0F"/>
    <w:rsid w:val="00371540"/>
    <w:rsid w:val="004B1E26"/>
    <w:rsid w:val="00500D2C"/>
    <w:rsid w:val="00630C67"/>
    <w:rsid w:val="007E5CC3"/>
    <w:rsid w:val="00807477"/>
    <w:rsid w:val="0085249B"/>
    <w:rsid w:val="008F286C"/>
    <w:rsid w:val="00910957"/>
    <w:rsid w:val="009147E7"/>
    <w:rsid w:val="00B620C9"/>
    <w:rsid w:val="00BC654A"/>
    <w:rsid w:val="00D17EEB"/>
    <w:rsid w:val="00D47FE6"/>
    <w:rsid w:val="00DB0536"/>
    <w:rsid w:val="00E579AB"/>
    <w:rsid w:val="00EC58A1"/>
    <w:rsid w:val="00F3430E"/>
    <w:rsid w:val="535757C9"/>
    <w:rsid w:val="5FB50C30"/>
    <w:rsid w:val="74D75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315" w:lineRule="exact"/>
    </w:pPr>
    <w:rPr>
      <w:rFonts w:ascii="NEU-BZ-S92" w:hAnsi="NEU-BZ-S92" w:eastAsia="方正书宋_GBK" w:cstheme="minorBidi"/>
      <w:color w:val="000000"/>
      <w:kern w:val="0"/>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semiHidden/>
    <w:unhideWhenUsed/>
    <w:qFormat/>
    <w:uiPriority w:val="99"/>
  </w:style>
  <w:style w:type="paragraph" w:styleId="3">
    <w:name w:val="Balloon Text"/>
    <w:basedOn w:val="1"/>
    <w:link w:val="14"/>
    <w:autoRedefine/>
    <w:semiHidden/>
    <w:unhideWhenUsed/>
    <w:qFormat/>
    <w:uiPriority w:val="99"/>
    <w:pPr>
      <w:spacing w:line="240" w:lineRule="auto"/>
    </w:pPr>
    <w:rPr>
      <w:sz w:val="18"/>
      <w:szCs w:val="18"/>
    </w:rPr>
  </w:style>
  <w:style w:type="paragraph" w:styleId="4">
    <w:name w:val="footer"/>
    <w:basedOn w:val="1"/>
    <w:link w:val="10"/>
    <w:autoRedefine/>
    <w:unhideWhenUsed/>
    <w:qFormat/>
    <w:uiPriority w:val="99"/>
    <w:pPr>
      <w:tabs>
        <w:tab w:val="center" w:pos="4153"/>
        <w:tab w:val="right" w:pos="8306"/>
      </w:tabs>
      <w:snapToGrid w:val="0"/>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autoRedefine/>
    <w:semiHidden/>
    <w:unhideWhenUsed/>
    <w:qFormat/>
    <w:uiPriority w:val="99"/>
    <w:rPr>
      <w:sz w:val="21"/>
      <w:szCs w:val="21"/>
    </w:rPr>
  </w:style>
  <w:style w:type="character" w:customStyle="1" w:styleId="9">
    <w:name w:val="页眉 字符"/>
    <w:basedOn w:val="7"/>
    <w:link w:val="5"/>
    <w:autoRedefine/>
    <w:qFormat/>
    <w:uiPriority w:val="99"/>
    <w:rPr>
      <w:sz w:val="18"/>
      <w:szCs w:val="18"/>
    </w:rPr>
  </w:style>
  <w:style w:type="character" w:customStyle="1" w:styleId="10">
    <w:name w:val="页脚 字符"/>
    <w:basedOn w:val="7"/>
    <w:link w:val="4"/>
    <w:autoRedefine/>
    <w:qFormat/>
    <w:uiPriority w:val="99"/>
    <w:rPr>
      <w:sz w:val="18"/>
      <w:szCs w:val="18"/>
    </w:rPr>
  </w:style>
  <w:style w:type="paragraph" w:customStyle="1" w:styleId="11">
    <w:name w:val="二级章节"/>
    <w:basedOn w:val="1"/>
    <w:autoRedefine/>
    <w:qFormat/>
    <w:uiPriority w:val="0"/>
    <w:pPr>
      <w:outlineLvl w:val="2"/>
    </w:pPr>
  </w:style>
  <w:style w:type="paragraph" w:customStyle="1" w:styleId="12">
    <w:name w:val="三级章节"/>
    <w:basedOn w:val="1"/>
    <w:autoRedefine/>
    <w:qFormat/>
    <w:uiPriority w:val="0"/>
    <w:pPr>
      <w:outlineLvl w:val="3"/>
    </w:pPr>
  </w:style>
  <w:style w:type="character" w:customStyle="1" w:styleId="13">
    <w:name w:val="批注文字 字符"/>
    <w:basedOn w:val="7"/>
    <w:link w:val="2"/>
    <w:semiHidden/>
    <w:qFormat/>
    <w:uiPriority w:val="99"/>
    <w:rPr>
      <w:rFonts w:ascii="NEU-BZ-S92" w:hAnsi="NEU-BZ-S92" w:eastAsia="方正书宋_GBK"/>
      <w:color w:val="000000"/>
      <w:kern w:val="0"/>
    </w:rPr>
  </w:style>
  <w:style w:type="character" w:customStyle="1" w:styleId="14">
    <w:name w:val="批注框文本 字符"/>
    <w:basedOn w:val="7"/>
    <w:link w:val="3"/>
    <w:autoRedefine/>
    <w:semiHidden/>
    <w:qFormat/>
    <w:uiPriority w:val="99"/>
    <w:rPr>
      <w:rFonts w:ascii="NEU-BZ-S92" w:hAnsi="NEU-BZ-S92" w:eastAsia="方正书宋_GBK"/>
      <w:color w:val="000000"/>
      <w:kern w:val="0"/>
      <w:sz w:val="18"/>
      <w:szCs w:val="18"/>
    </w:rPr>
  </w:style>
  <w:style w:type="character" w:customStyle="1" w:styleId="15">
    <w:name w:val="Body text|2_"/>
    <w:basedOn w:val="7"/>
    <w:link w:val="16"/>
    <w:autoRedefine/>
    <w:qFormat/>
    <w:uiPriority w:val="0"/>
    <w:rPr>
      <w:b/>
      <w:bCs/>
      <w:color w:val="3B3B3B"/>
      <w:sz w:val="19"/>
      <w:szCs w:val="19"/>
      <w:lang w:val="zh-TW" w:eastAsia="zh-TW" w:bidi="zh-TW"/>
    </w:rPr>
  </w:style>
  <w:style w:type="paragraph" w:customStyle="1" w:styleId="16">
    <w:name w:val="Body text|2"/>
    <w:basedOn w:val="1"/>
    <w:link w:val="15"/>
    <w:autoRedefine/>
    <w:qFormat/>
    <w:uiPriority w:val="0"/>
    <w:pPr>
      <w:widowControl w:val="0"/>
      <w:spacing w:line="324" w:lineRule="auto"/>
    </w:pPr>
    <w:rPr>
      <w:rFonts w:asciiTheme="minorHAnsi" w:hAnsiTheme="minorHAnsi" w:eastAsiaTheme="minorEastAsia"/>
      <w:b/>
      <w:bCs/>
      <w:color w:val="3B3B3B"/>
      <w:kern w:val="2"/>
      <w:sz w:val="19"/>
      <w:szCs w:val="19"/>
      <w:lang w:val="zh-TW" w:eastAsia="zh-TW" w:bidi="zh-TW"/>
    </w:rPr>
  </w:style>
  <w:style w:type="character" w:customStyle="1" w:styleId="17">
    <w:name w:val="Body text|1_"/>
    <w:basedOn w:val="7"/>
    <w:link w:val="18"/>
    <w:autoRedefine/>
    <w:qFormat/>
    <w:uiPriority w:val="0"/>
    <w:rPr>
      <w:rFonts w:ascii="宋体" w:hAnsi="宋体" w:eastAsia="宋体" w:cs="宋体"/>
      <w:color w:val="3B3B3B"/>
      <w:sz w:val="19"/>
      <w:szCs w:val="19"/>
      <w:lang w:val="zh-TW" w:eastAsia="zh-TW" w:bidi="zh-TW"/>
    </w:rPr>
  </w:style>
  <w:style w:type="paragraph" w:customStyle="1" w:styleId="18">
    <w:name w:val="Body text|1"/>
    <w:basedOn w:val="1"/>
    <w:link w:val="17"/>
    <w:uiPriority w:val="0"/>
    <w:pPr>
      <w:widowControl w:val="0"/>
      <w:spacing w:line="348" w:lineRule="auto"/>
    </w:pPr>
    <w:rPr>
      <w:rFonts w:ascii="宋体" w:hAnsi="宋体" w:eastAsia="宋体" w:cs="宋体"/>
      <w:color w:val="3B3B3B"/>
      <w:kern w:val="2"/>
      <w:sz w:val="19"/>
      <w:szCs w:val="19"/>
      <w:lang w:val="zh-TW" w:eastAsia="zh-TW" w:bidi="zh-TW"/>
    </w:rPr>
  </w:style>
  <w:style w:type="character" w:customStyle="1" w:styleId="19">
    <w:name w:val="Header or footer|1_"/>
    <w:basedOn w:val="7"/>
    <w:link w:val="20"/>
    <w:autoRedefine/>
    <w:qFormat/>
    <w:uiPriority w:val="0"/>
    <w:rPr>
      <w:b/>
      <w:bCs/>
      <w:color w:val="696969"/>
      <w:sz w:val="19"/>
      <w:szCs w:val="19"/>
    </w:rPr>
  </w:style>
  <w:style w:type="paragraph" w:customStyle="1" w:styleId="20">
    <w:name w:val="Header or footer|1"/>
    <w:basedOn w:val="1"/>
    <w:link w:val="19"/>
    <w:autoRedefine/>
    <w:qFormat/>
    <w:uiPriority w:val="0"/>
    <w:pPr>
      <w:widowControl w:val="0"/>
      <w:spacing w:line="240" w:lineRule="auto"/>
    </w:pPr>
    <w:rPr>
      <w:rFonts w:asciiTheme="minorHAnsi" w:hAnsiTheme="minorHAnsi" w:eastAsiaTheme="minorEastAsia"/>
      <w:b/>
      <w:bCs/>
      <w:color w:val="696969"/>
      <w:kern w:val="2"/>
      <w:sz w:val="19"/>
      <w:szCs w:val="19"/>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4627</Words>
  <Characters>4854</Characters>
  <Lines>36</Lines>
  <Paragraphs>10</Paragraphs>
  <TotalTime>2</TotalTime>
  <ScaleCrop>false</ScaleCrop>
  <LinksUpToDate>false</LinksUpToDate>
  <CharactersWithSpaces>5018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2022-10-22T09:35:00Z</dcterms:created>
  <dc:creator>anni</dc:creator>
  <cp:lastModifiedBy>敖艳</cp:lastModifiedBy>
  <dcterms:modified xsi:type="dcterms:W3CDTF">2024-07-18T09:22:24Z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2094AF32A30A4E3E9B7B89B7641EF0AA_12</vt:lpwstr>
  </property>
</Properties>
</file>